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F74" w:rsidRPr="00546C56" w:rsidRDefault="00061F74" w:rsidP="002A6AB7">
      <w:pPr>
        <w:bidi/>
        <w:spacing w:after="120" w:line="240" w:lineRule="atLeast"/>
        <w:jc w:val="center"/>
        <w:rPr>
          <w:rFonts w:ascii="Arabic Typesetting" w:hAnsi="Arabic Typesetting" w:cs="Arabic Typesetting"/>
          <w:b/>
          <w:bCs/>
          <w:sz w:val="56"/>
          <w:szCs w:val="56"/>
          <w:rtl/>
        </w:rPr>
      </w:pPr>
      <w:r w:rsidRPr="00546C56">
        <w:rPr>
          <w:rFonts w:ascii="Arabic Typesetting" w:hAnsi="Arabic Typesetting" w:cs="Arabic Typesetting"/>
          <w:b/>
          <w:bCs/>
          <w:sz w:val="56"/>
          <w:szCs w:val="56"/>
          <w:rtl/>
        </w:rPr>
        <w:t>صحيفة معلومات: التدخين والتسمم بالرصاص</w:t>
      </w:r>
    </w:p>
    <w:p w:rsidR="00061F74" w:rsidRPr="00546C56" w:rsidRDefault="00061F74" w:rsidP="002A6AB7">
      <w:pPr>
        <w:bidi/>
        <w:spacing w:after="120" w:line="240" w:lineRule="atLeast"/>
        <w:jc w:val="center"/>
        <w:rPr>
          <w:rFonts w:ascii="Arabic Typesetting" w:hAnsi="Arabic Typesetting" w:cs="Arabic Typesetting"/>
          <w:b/>
          <w:iCs/>
          <w:sz w:val="40"/>
          <w:szCs w:val="40"/>
          <w:rtl/>
        </w:rPr>
      </w:pPr>
      <w:r w:rsidRPr="00546C56">
        <w:rPr>
          <w:rFonts w:ascii="Arabic Typesetting" w:hAnsi="Arabic Typesetting" w:cs="Arabic Typesetting"/>
          <w:b/>
          <w:iCs/>
          <w:sz w:val="40"/>
          <w:szCs w:val="40"/>
          <w:rtl/>
        </w:rPr>
        <w:t>كتبه باللغة الإنجليزية روبرت تايلور، وتم تحريره بواسطة أن روبرتس</w:t>
      </w:r>
    </w:p>
    <w:p w:rsidR="00061F74" w:rsidRPr="00546C56" w:rsidRDefault="00061F74" w:rsidP="002A6AB7">
      <w:pPr>
        <w:bidi/>
        <w:spacing w:after="120" w:line="240" w:lineRule="atLeast"/>
        <w:jc w:val="center"/>
        <w:rPr>
          <w:rFonts w:ascii="Arabic Typesetting" w:hAnsi="Arabic Typesetting" w:cs="Arabic Typesetting"/>
          <w:b/>
          <w:i/>
          <w:iCs/>
          <w:sz w:val="40"/>
          <w:szCs w:val="40"/>
          <w:rtl/>
        </w:rPr>
      </w:pPr>
      <w:r w:rsidRPr="00546C56">
        <w:rPr>
          <w:rFonts w:ascii="Arabic Typesetting" w:hAnsi="Arabic Typesetting" w:cs="Arabic Typesetting"/>
          <w:b/>
          <w:i/>
          <w:iCs/>
          <w:sz w:val="40"/>
          <w:szCs w:val="40"/>
          <w:rtl/>
        </w:rPr>
        <w:t>ترجمه إلى اللغة العربية سامي سعد، أكتوبر 2010</w:t>
      </w:r>
    </w:p>
    <w:p w:rsidR="00061F74" w:rsidRPr="00546C56" w:rsidRDefault="00061F74" w:rsidP="002A6AB7">
      <w:pPr>
        <w:bidi/>
        <w:spacing w:after="120" w:line="240" w:lineRule="atLeast"/>
        <w:jc w:val="center"/>
        <w:rPr>
          <w:rFonts w:ascii="Arabic Typesetting" w:hAnsi="Arabic Typesetting" w:cs="Arabic Typesetting"/>
          <w:b/>
          <w:sz w:val="28"/>
          <w:szCs w:val="28"/>
          <w:rtl/>
        </w:rPr>
      </w:pPr>
      <w:r w:rsidRPr="00546C56">
        <w:rPr>
          <w:rFonts w:ascii="Arabic Typesetting" w:hAnsi="Arabic Typesetting" w:cs="Arabic Typesetting"/>
          <w:b/>
          <w:sz w:val="40"/>
          <w:szCs w:val="40"/>
          <w:rtl/>
        </w:rPr>
        <w:t>هذا هو موجز لمادة تحريرية أطول ويمكن الاطلاع على الموضوع كاملا على الموقع التالي:</w:t>
      </w:r>
    </w:p>
    <w:p w:rsidR="00061F74" w:rsidRPr="00546C56" w:rsidRDefault="00253A22" w:rsidP="002A6AB7">
      <w:pPr>
        <w:bidi/>
        <w:spacing w:after="120" w:line="240" w:lineRule="atLeast"/>
        <w:rPr>
          <w:rFonts w:ascii="Arabic Typesetting" w:hAnsi="Arabic Typesetting" w:cs="Arabic Typesetting"/>
          <w:sz w:val="20"/>
          <w:szCs w:val="20"/>
          <w:rtl/>
        </w:rPr>
      </w:pPr>
      <w:hyperlink r:id="rId8" w:history="1">
        <w:r w:rsidR="00E17543" w:rsidRPr="00546C56">
          <w:rPr>
            <w:rStyle w:val="Hyperlink"/>
            <w:rFonts w:ascii="Arabic Typesetting" w:hAnsi="Arabic Typesetting" w:cs="Arabic Typesetting"/>
            <w:sz w:val="20"/>
            <w:szCs w:val="20"/>
          </w:rPr>
          <w:t>www.lead.org.au/Taylor_Tobacco_&amp;_Lead_Toxicity_20101001.pdf</w:t>
        </w:r>
      </w:hyperlink>
    </w:p>
    <w:p w:rsidR="00061F74" w:rsidRPr="00546C56" w:rsidRDefault="00061F74" w:rsidP="002A6AB7">
      <w:pPr>
        <w:bidi/>
        <w:spacing w:after="120" w:line="240" w:lineRule="atLeast"/>
        <w:jc w:val="both"/>
        <w:rPr>
          <w:rFonts w:ascii="Arabic Typesetting" w:hAnsi="Arabic Typesetting" w:cs="Arabic Typesetting"/>
          <w:b/>
          <w:bCs/>
          <w:sz w:val="40"/>
          <w:szCs w:val="40"/>
          <w:rtl/>
        </w:rPr>
      </w:pPr>
      <w:r w:rsidRPr="00546C56">
        <w:rPr>
          <w:rFonts w:ascii="Arabic Typesetting" w:hAnsi="Arabic Typesetting" w:cs="Arabic Typesetting"/>
          <w:b/>
          <w:bCs/>
          <w:sz w:val="40"/>
          <w:szCs w:val="40"/>
          <w:rtl/>
        </w:rPr>
        <w:t>ما علاقة التبغ بالرصاص؟</w:t>
      </w:r>
    </w:p>
    <w:p w:rsidR="00061F74" w:rsidRPr="00546C56" w:rsidRDefault="00061F74" w:rsidP="002A6AB7">
      <w:pPr>
        <w:bidi/>
        <w:spacing w:after="120" w:line="240" w:lineRule="atLeast"/>
        <w:jc w:val="both"/>
        <w:rPr>
          <w:rFonts w:ascii="Arabic Typesetting" w:hAnsi="Arabic Typesetting" w:cs="Arabic Typesetting"/>
          <w:rtl/>
          <w:lang w:val="en-US"/>
        </w:rPr>
      </w:pPr>
      <w:r w:rsidRPr="00546C56">
        <w:rPr>
          <w:rFonts w:ascii="Arabic Typesetting" w:hAnsi="Arabic Typesetting" w:cs="Arabic Typesetting"/>
          <w:sz w:val="32"/>
          <w:szCs w:val="32"/>
          <w:rtl/>
        </w:rPr>
        <w:t xml:space="preserve">تقوم أوراق التبغ بترسيب كلاً من الرصاص المشع (الرصاص </w:t>
      </w:r>
      <w:r w:rsidRPr="00546C56">
        <w:rPr>
          <w:rFonts w:ascii="Arabic Typesetting" w:hAnsi="Arabic Typesetting" w:cs="Arabic Typesetting"/>
          <w:sz w:val="32"/>
          <w:szCs w:val="32"/>
        </w:rPr>
        <w:t>210</w:t>
      </w:r>
      <w:r w:rsidRPr="00546C56">
        <w:rPr>
          <w:rFonts w:ascii="Arabic Typesetting" w:hAnsi="Arabic Typesetting" w:cs="Arabic Typesetting"/>
          <w:sz w:val="32"/>
          <w:szCs w:val="32"/>
          <w:rtl/>
        </w:rPr>
        <w:t xml:space="preserve">) والرصاص الغير مشع (الرصاص </w:t>
      </w:r>
      <w:r w:rsidRPr="00546C56">
        <w:rPr>
          <w:rFonts w:ascii="Arabic Typesetting" w:hAnsi="Arabic Typesetting" w:cs="Arabic Typesetting"/>
          <w:sz w:val="32"/>
          <w:szCs w:val="32"/>
          <w:lang w:val="en-US"/>
        </w:rPr>
        <w:t>206</w:t>
      </w:r>
      <w:r w:rsidRPr="00546C56">
        <w:rPr>
          <w:rFonts w:ascii="Arabic Typesetting" w:hAnsi="Arabic Typesetting" w:cs="Arabic Typesetting"/>
          <w:sz w:val="32"/>
          <w:szCs w:val="32"/>
          <w:rtl/>
          <w:lang w:val="en-US"/>
        </w:rPr>
        <w:t xml:space="preserve">) من الغلاف الجوي إلى سطح أوراقها وذلك نتيجة لوجود التريكومس (شعيرات لزجة تعترض الجزيئات ثم تحتفظ بها عند غسلها بالماء). ويعتقد أن هذا هو المصدر الرئيسي للرصاص في التبغ. يمثل الرصاص </w:t>
      </w:r>
      <w:r w:rsidRPr="00546C56">
        <w:rPr>
          <w:rFonts w:ascii="Arabic Typesetting" w:hAnsi="Arabic Typesetting" w:cs="Arabic Typesetting"/>
          <w:sz w:val="32"/>
          <w:szCs w:val="32"/>
          <w:lang w:val="en-US"/>
        </w:rPr>
        <w:t>210</w:t>
      </w:r>
      <w:r w:rsidRPr="00546C56">
        <w:rPr>
          <w:rFonts w:ascii="Arabic Typesetting" w:hAnsi="Arabic Typesetting" w:cs="Arabic Typesetting"/>
          <w:sz w:val="32"/>
          <w:szCs w:val="32"/>
          <w:rtl/>
          <w:lang w:val="en-US"/>
        </w:rPr>
        <w:t xml:space="preserve"> جزءاً بسيطاً من الرصاص المترسب ويمكن قياسه بالنانوجرام، في حين أن الرصاص </w:t>
      </w:r>
      <w:r w:rsidRPr="00546C56">
        <w:rPr>
          <w:rFonts w:ascii="Arabic Typesetting" w:hAnsi="Arabic Typesetting" w:cs="Arabic Typesetting"/>
          <w:sz w:val="32"/>
          <w:szCs w:val="32"/>
          <w:lang w:val="en-US"/>
        </w:rPr>
        <w:t>206</w:t>
      </w:r>
      <w:r w:rsidRPr="00546C56">
        <w:rPr>
          <w:rFonts w:ascii="Arabic Typesetting" w:hAnsi="Arabic Typesetting" w:cs="Arabic Typesetting"/>
          <w:sz w:val="32"/>
          <w:szCs w:val="32"/>
          <w:rtl/>
          <w:lang w:val="en-US"/>
        </w:rPr>
        <w:t xml:space="preserve"> يمكن قياسه بالميكروجرام</w:t>
      </w:r>
      <w:r w:rsidRPr="00546C56">
        <w:rPr>
          <w:rFonts w:ascii="Arabic Typesetting" w:hAnsi="Arabic Typesetting" w:cs="Arabic Typesetting"/>
          <w:rtl/>
          <w:lang w:val="en-US"/>
        </w:rPr>
        <w:t>.</w:t>
      </w:r>
    </w:p>
    <w:p w:rsidR="00061F74" w:rsidRPr="00546C56" w:rsidRDefault="00061F74" w:rsidP="002A6AB7">
      <w:pPr>
        <w:bidi/>
        <w:spacing w:after="120" w:line="240" w:lineRule="atLeast"/>
        <w:jc w:val="both"/>
        <w:rPr>
          <w:rFonts w:ascii="Arabic Typesetting" w:hAnsi="Arabic Typesetting" w:cs="Arabic Typesetting"/>
          <w:sz w:val="32"/>
          <w:szCs w:val="32"/>
          <w:rtl/>
          <w:lang w:val="en-US"/>
        </w:rPr>
      </w:pPr>
      <w:r w:rsidRPr="00546C56">
        <w:rPr>
          <w:rFonts w:ascii="Arabic Typesetting" w:hAnsi="Arabic Typesetting" w:cs="Arabic Typesetting"/>
          <w:sz w:val="32"/>
          <w:szCs w:val="32"/>
          <w:rtl/>
          <w:lang w:val="en-US"/>
        </w:rPr>
        <w:t xml:space="preserve">عند التدخين، ينتقل حوالى </w:t>
      </w:r>
      <w:r w:rsidRPr="00546C56">
        <w:rPr>
          <w:rFonts w:ascii="Arabic Typesetting" w:hAnsi="Arabic Typesetting" w:cs="Arabic Typesetting"/>
          <w:sz w:val="32"/>
          <w:szCs w:val="32"/>
          <w:lang w:val="en-US"/>
        </w:rPr>
        <w:t>11%</w:t>
      </w:r>
      <w:r w:rsidRPr="00546C56">
        <w:rPr>
          <w:rFonts w:ascii="Arabic Typesetting" w:hAnsi="Arabic Typesetting" w:cs="Arabic Typesetting"/>
          <w:sz w:val="32"/>
          <w:szCs w:val="32"/>
          <w:rtl/>
          <w:lang w:val="en-US"/>
        </w:rPr>
        <w:t xml:space="preserve"> من الرصاص الموجود في التبغ إلى دخان السجائر، ويعتقد أن نصف هذه الكمية تقريب</w:t>
      </w:r>
      <w:r w:rsidRPr="00546C56">
        <w:rPr>
          <w:rFonts w:ascii="Arabic Typesetting" w:hAnsi="Arabic Typesetting" w:cs="Arabic Typesetting"/>
          <w:sz w:val="32"/>
          <w:szCs w:val="32"/>
          <w:rtl/>
        </w:rPr>
        <w:t>اً</w:t>
      </w:r>
      <w:r w:rsidRPr="00546C56">
        <w:rPr>
          <w:rFonts w:ascii="Arabic Typesetting" w:hAnsi="Arabic Typesetting" w:cs="Arabic Typesetting"/>
          <w:sz w:val="32"/>
          <w:szCs w:val="32"/>
          <w:rtl/>
          <w:lang w:val="en-US"/>
        </w:rPr>
        <w:t xml:space="preserve"> تصل إلى رئات المدخنين. أما معظم المتبقي يمكن إيجاده في الرماد مما يسبب ارتفاع مستويات الرصاص في الغبار المنزلي للمدخنين، و قد يسبب بعض المتبقي تلوث البيئة المحيطة.</w:t>
      </w:r>
    </w:p>
    <w:p w:rsidR="00061F74" w:rsidRPr="00546C56" w:rsidRDefault="00061F74" w:rsidP="002A6AB7">
      <w:pPr>
        <w:bidi/>
        <w:spacing w:after="120" w:line="240" w:lineRule="atLeast"/>
        <w:jc w:val="both"/>
        <w:rPr>
          <w:rFonts w:ascii="Arabic Typesetting" w:hAnsi="Arabic Typesetting" w:cs="Arabic Typesetting"/>
          <w:sz w:val="32"/>
          <w:szCs w:val="32"/>
          <w:rtl/>
        </w:rPr>
      </w:pPr>
      <w:r w:rsidRPr="00546C56">
        <w:rPr>
          <w:rFonts w:ascii="Arabic Typesetting" w:hAnsi="Arabic Typesetting" w:cs="Arabic Typesetting"/>
          <w:sz w:val="32"/>
          <w:szCs w:val="32"/>
          <w:rtl/>
        </w:rPr>
        <w:t>أنواع التبغ المحظورة قد تحتوي على نسب أعلى من المعادن الثقيلة بما فيها الرصاص، وفي بعض الأحيان يتم إضافة الرصاص إلى التبغ أو الماريجوانا لزيادة وزنها.</w:t>
      </w:r>
    </w:p>
    <w:p w:rsidR="00061F74" w:rsidRPr="00546C56" w:rsidRDefault="00061F74" w:rsidP="002A6AB7">
      <w:pPr>
        <w:bidi/>
        <w:spacing w:after="120" w:line="240" w:lineRule="atLeast"/>
        <w:jc w:val="both"/>
        <w:rPr>
          <w:rFonts w:ascii="Arabic Typesetting" w:hAnsi="Arabic Typesetting" w:cs="Arabic Typesetting"/>
          <w:sz w:val="32"/>
          <w:szCs w:val="32"/>
          <w:rtl/>
          <w:lang w:val="en-US"/>
        </w:rPr>
      </w:pPr>
      <w:r w:rsidRPr="00546C56">
        <w:rPr>
          <w:rFonts w:ascii="Arabic Typesetting" w:hAnsi="Arabic Typesetting" w:cs="Arabic Typesetting"/>
          <w:sz w:val="32"/>
          <w:szCs w:val="32"/>
          <w:rtl/>
        </w:rPr>
        <w:t xml:space="preserve">ولأن الرصاص غير قبل للذوبان، فإن كميات صغيرة منه تبقى في الرئة، هذه الكميات تقوم بإصدار إشعاعات عند اضمحلالها إلى البلوتونيوم </w:t>
      </w:r>
      <w:r w:rsidRPr="00546C56">
        <w:rPr>
          <w:rFonts w:ascii="Arabic Typesetting" w:hAnsi="Arabic Typesetting" w:cs="Arabic Typesetting"/>
          <w:sz w:val="32"/>
          <w:szCs w:val="32"/>
          <w:lang w:val="en-US"/>
        </w:rPr>
        <w:t>210</w:t>
      </w:r>
      <w:r w:rsidRPr="00546C56">
        <w:rPr>
          <w:rFonts w:ascii="Arabic Typesetting" w:hAnsi="Arabic Typesetting" w:cs="Arabic Typesetting"/>
          <w:sz w:val="32"/>
          <w:szCs w:val="32"/>
          <w:rtl/>
        </w:rPr>
        <w:t xml:space="preserve">. والشخص الذي يدخن بمعدل علبة واحدة يومياً، معرض لما يضاهي أكثر من عشر أضعاف متوسط التعرض الإشعاعي في الولايات المتحدة، وثلث هذه الإشعاعات تقريبا مصدرها الرصاص </w:t>
      </w:r>
      <w:r w:rsidRPr="00546C56">
        <w:rPr>
          <w:rFonts w:ascii="Arabic Typesetting" w:hAnsi="Arabic Typesetting" w:cs="Arabic Typesetting"/>
          <w:sz w:val="32"/>
          <w:szCs w:val="32"/>
          <w:lang w:val="en-US"/>
        </w:rPr>
        <w:t>210</w:t>
      </w:r>
      <w:r w:rsidRPr="00546C56">
        <w:rPr>
          <w:rFonts w:ascii="Arabic Typesetting" w:hAnsi="Arabic Typesetting" w:cs="Arabic Typesetting"/>
          <w:sz w:val="32"/>
          <w:szCs w:val="32"/>
          <w:rtl/>
          <w:lang w:val="en-US"/>
        </w:rPr>
        <w:t>. ولكن ليس من الضروري أن تكون هذه الإشعاعات هي السبب الرئيسي لزيادة أخطار الاصابة بسرطان الرئة.</w:t>
      </w:r>
    </w:p>
    <w:p w:rsidR="00720850" w:rsidRPr="00546C56" w:rsidRDefault="00061F74" w:rsidP="002A6AB7">
      <w:pPr>
        <w:bidi/>
        <w:spacing w:after="120" w:line="240" w:lineRule="atLeast"/>
        <w:jc w:val="both"/>
        <w:rPr>
          <w:rFonts w:ascii="Arabic Typesetting" w:hAnsi="Arabic Typesetting" w:cs="Arabic Typesetting"/>
          <w:sz w:val="32"/>
          <w:szCs w:val="32"/>
        </w:rPr>
      </w:pPr>
      <w:r w:rsidRPr="00546C56">
        <w:rPr>
          <w:rFonts w:ascii="Arabic Typesetting" w:hAnsi="Arabic Typesetting" w:cs="Arabic Typesetting"/>
          <w:sz w:val="32"/>
          <w:szCs w:val="32"/>
          <w:rtl/>
          <w:lang w:val="en-US"/>
        </w:rPr>
        <w:t xml:space="preserve">تحتوي السجائر على أكثر من </w:t>
      </w:r>
      <w:r w:rsidRPr="00546C56">
        <w:rPr>
          <w:rFonts w:ascii="Arabic Typesetting" w:hAnsi="Arabic Typesetting" w:cs="Arabic Typesetting"/>
          <w:sz w:val="32"/>
          <w:szCs w:val="32"/>
          <w:lang w:val="en-US"/>
        </w:rPr>
        <w:t>4000</w:t>
      </w:r>
      <w:r w:rsidRPr="00546C56">
        <w:rPr>
          <w:rFonts w:ascii="Arabic Typesetting" w:hAnsi="Arabic Typesetting" w:cs="Arabic Typesetting"/>
          <w:sz w:val="32"/>
          <w:szCs w:val="32"/>
          <w:rtl/>
          <w:lang w:val="en-US"/>
        </w:rPr>
        <w:t xml:space="preserve"> مادة كيميائية؛ </w:t>
      </w:r>
      <w:r w:rsidRPr="00546C56">
        <w:rPr>
          <w:rFonts w:ascii="Arabic Typesetting" w:hAnsi="Arabic Typesetting" w:cs="Arabic Typesetting"/>
          <w:sz w:val="32"/>
          <w:szCs w:val="32"/>
          <w:lang w:val="en-US"/>
        </w:rPr>
        <w:t>20</w:t>
      </w:r>
      <w:r w:rsidRPr="00546C56">
        <w:rPr>
          <w:rFonts w:ascii="Arabic Typesetting" w:hAnsi="Arabic Typesetting" w:cs="Arabic Typesetting"/>
          <w:sz w:val="32"/>
          <w:szCs w:val="32"/>
          <w:rtl/>
          <w:lang w:val="en-US"/>
        </w:rPr>
        <w:t xml:space="preserve"> منها على الأقل قد تسبب السرطان وأكثر من </w:t>
      </w:r>
      <w:r w:rsidRPr="00546C56">
        <w:rPr>
          <w:rFonts w:ascii="Arabic Typesetting" w:hAnsi="Arabic Typesetting" w:cs="Arabic Typesetting"/>
          <w:sz w:val="32"/>
          <w:szCs w:val="32"/>
          <w:lang w:val="en-US"/>
        </w:rPr>
        <w:t>60</w:t>
      </w:r>
      <w:r w:rsidRPr="00546C56">
        <w:rPr>
          <w:rFonts w:ascii="Arabic Typesetting" w:hAnsi="Arabic Typesetting" w:cs="Arabic Typesetting"/>
          <w:sz w:val="32"/>
          <w:szCs w:val="32"/>
          <w:rtl/>
          <w:lang w:val="en-US"/>
        </w:rPr>
        <w:t xml:space="preserve"> يمكن أن تسبب طفرات جينية (تؤثر على الجينات ومدلولها الوراثي). ويقلل دخان السجائر من قدرة أنسجة  الرئة على مقاومة الإشعاعات والمواد الأخرى المسببة للسرطان. وهناك أدلة سابقة، قد تكون ضعيفة، على أن الرصاص </w:t>
      </w:r>
      <w:r w:rsidRPr="00546C56">
        <w:rPr>
          <w:rFonts w:ascii="Arabic Typesetting" w:hAnsi="Arabic Typesetting" w:cs="Arabic Typesetting"/>
          <w:sz w:val="32"/>
          <w:szCs w:val="32"/>
          <w:lang w:val="en-US"/>
        </w:rPr>
        <w:t>210</w:t>
      </w:r>
      <w:r w:rsidRPr="00546C56">
        <w:rPr>
          <w:rFonts w:ascii="Arabic Typesetting" w:hAnsi="Arabic Typesetting" w:cs="Arabic Typesetting"/>
          <w:sz w:val="32"/>
          <w:szCs w:val="32"/>
          <w:rtl/>
          <w:lang w:val="en-US"/>
        </w:rPr>
        <w:t xml:space="preserve"> قد يكون له دور في الإصابة بسرطان الرئة.</w:t>
      </w:r>
    </w:p>
    <w:p w:rsidR="00061F74" w:rsidRPr="00546C56" w:rsidRDefault="00061F74" w:rsidP="002A6AB7">
      <w:pPr>
        <w:bidi/>
        <w:spacing w:after="120" w:line="240" w:lineRule="atLeast"/>
        <w:jc w:val="both"/>
        <w:rPr>
          <w:rFonts w:ascii="Arabic Typesetting" w:hAnsi="Arabic Typesetting" w:cs="Arabic Typesetting"/>
          <w:b/>
          <w:bCs/>
          <w:sz w:val="40"/>
          <w:szCs w:val="40"/>
          <w:rtl/>
          <w:lang w:val="en-US"/>
        </w:rPr>
      </w:pPr>
      <w:r w:rsidRPr="00546C56">
        <w:rPr>
          <w:rFonts w:ascii="Arabic Typesetting" w:hAnsi="Arabic Typesetting" w:cs="Arabic Typesetting"/>
          <w:b/>
          <w:bCs/>
          <w:sz w:val="28"/>
          <w:szCs w:val="28"/>
          <w:rtl/>
          <w:lang w:val="en-US"/>
        </w:rPr>
        <w:t>ع</w:t>
      </w:r>
      <w:r w:rsidRPr="00546C56">
        <w:rPr>
          <w:rFonts w:ascii="Arabic Typesetting" w:hAnsi="Arabic Typesetting" w:cs="Arabic Typesetting"/>
          <w:b/>
          <w:bCs/>
          <w:sz w:val="40"/>
          <w:szCs w:val="40"/>
          <w:rtl/>
          <w:lang w:val="en-US"/>
        </w:rPr>
        <w:t>لاقة نسبة الوفاة من سرطان الرئة بالتدخين النشط والتدخين السلبي</w:t>
      </w:r>
    </w:p>
    <w:p w:rsidR="00061F74" w:rsidRPr="00546C56" w:rsidRDefault="00061F74" w:rsidP="002A6AB7">
      <w:pPr>
        <w:bidi/>
        <w:spacing w:after="120" w:line="240" w:lineRule="atLeast"/>
        <w:jc w:val="both"/>
        <w:rPr>
          <w:rFonts w:ascii="Arabic Typesetting" w:hAnsi="Arabic Typesetting" w:cs="Arabic Typesetting"/>
          <w:sz w:val="32"/>
          <w:szCs w:val="32"/>
          <w:rtl/>
          <w:lang w:val="en-US"/>
        </w:rPr>
      </w:pPr>
      <w:r w:rsidRPr="00546C56">
        <w:rPr>
          <w:rFonts w:ascii="Arabic Typesetting" w:hAnsi="Arabic Typesetting" w:cs="Arabic Typesetting"/>
          <w:sz w:val="32"/>
          <w:szCs w:val="32"/>
          <w:rtl/>
          <w:lang w:val="en-US"/>
        </w:rPr>
        <w:t xml:space="preserve">المدخنون من أصل أوروبي لديهم احتمال </w:t>
      </w:r>
      <w:r w:rsidRPr="00546C56">
        <w:rPr>
          <w:rFonts w:ascii="Arabic Typesetting" w:hAnsi="Arabic Typesetting" w:cs="Arabic Typesetting"/>
          <w:sz w:val="32"/>
          <w:szCs w:val="32"/>
          <w:lang w:val="en-US"/>
        </w:rPr>
        <w:t>22.1%</w:t>
      </w:r>
      <w:r w:rsidRPr="00546C56">
        <w:rPr>
          <w:rFonts w:ascii="Arabic Typesetting" w:hAnsi="Arabic Typesetting" w:cs="Arabic Typesetting"/>
          <w:sz w:val="32"/>
          <w:szCs w:val="32"/>
          <w:rtl/>
          <w:lang w:val="en-US"/>
        </w:rPr>
        <w:t xml:space="preserve"> أن يتوفوا بسرطان الرئة قبل سن </w:t>
      </w:r>
      <w:r w:rsidRPr="00546C56">
        <w:rPr>
          <w:rFonts w:ascii="Arabic Typesetting" w:hAnsi="Arabic Typesetting" w:cs="Arabic Typesetting"/>
          <w:sz w:val="32"/>
          <w:szCs w:val="32"/>
          <w:lang w:val="en-US"/>
        </w:rPr>
        <w:t>85</w:t>
      </w:r>
      <w:r w:rsidRPr="00546C56">
        <w:rPr>
          <w:rFonts w:ascii="Arabic Typesetting" w:hAnsi="Arabic Typesetting" w:cs="Arabic Typesetting"/>
          <w:sz w:val="32"/>
          <w:szCs w:val="32"/>
          <w:rtl/>
          <w:lang w:val="en-US"/>
        </w:rPr>
        <w:t xml:space="preserve"> إذا كانوا ذكورا و</w:t>
      </w:r>
      <w:r w:rsidRPr="00546C56">
        <w:rPr>
          <w:rFonts w:ascii="Arabic Typesetting" w:hAnsi="Arabic Typesetting" w:cs="Arabic Typesetting"/>
          <w:sz w:val="32"/>
          <w:szCs w:val="32"/>
          <w:lang w:val="en-US"/>
        </w:rPr>
        <w:t xml:space="preserve">11.9% </w:t>
      </w:r>
      <w:r w:rsidRPr="00546C56">
        <w:rPr>
          <w:rFonts w:ascii="Arabic Typesetting" w:hAnsi="Arabic Typesetting" w:cs="Arabic Typesetting"/>
          <w:sz w:val="32"/>
          <w:szCs w:val="32"/>
          <w:rtl/>
          <w:lang w:val="en-US"/>
        </w:rPr>
        <w:t xml:space="preserve"> إذا كانوا إناثا، في حين أن النسب المقارنة لغير المدخنين هي </w:t>
      </w:r>
      <w:r w:rsidRPr="00546C56">
        <w:rPr>
          <w:rFonts w:ascii="Arabic Typesetting" w:hAnsi="Arabic Typesetting" w:cs="Arabic Typesetting"/>
          <w:sz w:val="32"/>
          <w:szCs w:val="32"/>
          <w:lang w:val="en-US"/>
        </w:rPr>
        <w:t>1.1%</w:t>
      </w:r>
      <w:r w:rsidRPr="00546C56">
        <w:rPr>
          <w:rFonts w:ascii="Arabic Typesetting" w:hAnsi="Arabic Typesetting" w:cs="Arabic Typesetting"/>
          <w:sz w:val="32"/>
          <w:szCs w:val="32"/>
          <w:rtl/>
          <w:lang w:val="en-US"/>
        </w:rPr>
        <w:t xml:space="preserve"> و </w:t>
      </w:r>
      <w:r w:rsidRPr="00546C56">
        <w:rPr>
          <w:rFonts w:ascii="Arabic Typesetting" w:hAnsi="Arabic Typesetting" w:cs="Arabic Typesetting"/>
          <w:sz w:val="32"/>
          <w:szCs w:val="32"/>
          <w:lang w:val="en-US"/>
        </w:rPr>
        <w:t>0.8%</w:t>
      </w:r>
      <w:r w:rsidRPr="00546C56">
        <w:rPr>
          <w:rFonts w:ascii="Arabic Typesetting" w:hAnsi="Arabic Typesetting" w:cs="Arabic Typesetting"/>
          <w:sz w:val="32"/>
          <w:szCs w:val="32"/>
          <w:rtl/>
          <w:lang w:val="en-US"/>
        </w:rPr>
        <w:t>.</w:t>
      </w:r>
    </w:p>
    <w:p w:rsidR="00061F74" w:rsidRPr="00546C56" w:rsidRDefault="00061F74" w:rsidP="002A6AB7">
      <w:pPr>
        <w:bidi/>
        <w:spacing w:after="120" w:line="240" w:lineRule="atLeast"/>
        <w:jc w:val="both"/>
        <w:rPr>
          <w:rFonts w:ascii="Arabic Typesetting" w:hAnsi="Arabic Typesetting" w:cs="Arabic Typesetting"/>
          <w:sz w:val="32"/>
          <w:szCs w:val="32"/>
          <w:rtl/>
        </w:rPr>
      </w:pPr>
      <w:r w:rsidRPr="00546C56">
        <w:rPr>
          <w:rFonts w:ascii="Arabic Typesetting" w:hAnsi="Arabic Typesetting" w:cs="Arabic Typesetting"/>
          <w:sz w:val="32"/>
          <w:szCs w:val="32"/>
          <w:rtl/>
          <w:lang w:val="en-US"/>
        </w:rPr>
        <w:lastRenderedPageBreak/>
        <w:t xml:space="preserve">يزيد التعرض لدخان السجائر في الجو (التدخين السلبي) من خطر الوفاة بسرطان الرئة بنسبة </w:t>
      </w:r>
      <w:r w:rsidRPr="00546C56">
        <w:rPr>
          <w:rFonts w:ascii="Arabic Typesetting" w:hAnsi="Arabic Typesetting" w:cs="Arabic Typesetting"/>
          <w:sz w:val="32"/>
          <w:szCs w:val="32"/>
          <w:lang w:val="en-US"/>
        </w:rPr>
        <w:t>15-31%</w:t>
      </w:r>
      <w:r w:rsidRPr="00546C56">
        <w:rPr>
          <w:rFonts w:ascii="Arabic Typesetting" w:hAnsi="Arabic Typesetting" w:cs="Arabic Typesetting"/>
          <w:sz w:val="32"/>
          <w:szCs w:val="32"/>
          <w:rtl/>
          <w:lang w:val="en-US"/>
        </w:rPr>
        <w:t xml:space="preserve"> (الخطر النسبي </w:t>
      </w:r>
      <w:r w:rsidRPr="00546C56">
        <w:rPr>
          <w:rFonts w:ascii="Arabic Typesetting" w:hAnsi="Arabic Typesetting" w:cs="Arabic Typesetting"/>
          <w:sz w:val="32"/>
          <w:szCs w:val="32"/>
          <w:lang w:val="en-US"/>
        </w:rPr>
        <w:t>1.15-1.31</w:t>
      </w:r>
      <w:r w:rsidRPr="00546C56">
        <w:rPr>
          <w:rFonts w:ascii="Arabic Typesetting" w:hAnsi="Arabic Typesetting" w:cs="Arabic Typesetting"/>
          <w:sz w:val="32"/>
          <w:szCs w:val="32"/>
          <w:rtl/>
          <w:lang w:val="en-US"/>
        </w:rPr>
        <w:t xml:space="preserve">) للأشخاص الذين يعيشون مع شخص مدخن. [الخطر النسبي: المخاطر المضافة للأشخاص المعرضين معبر عنها في صورة نسبة مئوية </w:t>
      </w:r>
      <w:hyperlink r:id="rId9" w:history="1">
        <w:r w:rsidRPr="00546C56">
          <w:rPr>
            <w:rStyle w:val="Hyperlink"/>
            <w:rFonts w:ascii="Arabic Typesetting" w:hAnsi="Arabic Typesetting" w:cs="Arabic Typesetting"/>
            <w:sz w:val="32"/>
            <w:szCs w:val="32"/>
          </w:rPr>
          <w:t>http://en.wikipedia.org/wiki/Relative_risk</w:t>
        </w:r>
      </w:hyperlink>
      <w:r w:rsidRPr="00546C56">
        <w:rPr>
          <w:rFonts w:ascii="Arabic Typesetting" w:hAnsi="Arabic Typesetting" w:cs="Arabic Typesetting"/>
          <w:sz w:val="32"/>
          <w:szCs w:val="32"/>
          <w:rtl/>
        </w:rPr>
        <w:t xml:space="preserve">] أو حوالى </w:t>
      </w:r>
      <w:r w:rsidRPr="00546C56">
        <w:rPr>
          <w:rFonts w:ascii="Arabic Typesetting" w:hAnsi="Arabic Typesetting" w:cs="Arabic Typesetting"/>
          <w:sz w:val="32"/>
          <w:szCs w:val="32"/>
          <w:lang w:val="en-US"/>
        </w:rPr>
        <w:t>24%</w:t>
      </w:r>
      <w:r w:rsidRPr="00546C56">
        <w:rPr>
          <w:rFonts w:ascii="Arabic Typesetting" w:hAnsi="Arabic Typesetting" w:cs="Arabic Typesetting"/>
          <w:sz w:val="32"/>
          <w:szCs w:val="32"/>
          <w:rtl/>
          <w:lang w:val="en-US"/>
        </w:rPr>
        <w:t xml:space="preserve"> (الخطر النسبي </w:t>
      </w:r>
      <w:r w:rsidRPr="00546C56">
        <w:rPr>
          <w:rFonts w:ascii="Arabic Typesetting" w:hAnsi="Arabic Typesetting" w:cs="Arabic Typesetting"/>
          <w:sz w:val="32"/>
          <w:szCs w:val="32"/>
          <w:lang w:val="en-US"/>
        </w:rPr>
        <w:t>1.24</w:t>
      </w:r>
      <w:r w:rsidRPr="00546C56">
        <w:rPr>
          <w:rFonts w:ascii="Arabic Typesetting" w:hAnsi="Arabic Typesetting" w:cs="Arabic Typesetting"/>
          <w:sz w:val="32"/>
          <w:szCs w:val="32"/>
          <w:rtl/>
          <w:lang w:val="en-US"/>
        </w:rPr>
        <w:t xml:space="preserve">) إذا كان التعرض لدخان السجائر في الجو (التدخين السلبي) أثناء العمل. ومع ذلك، وحسب إحدى الدراسات، يشمل ذلك تضاعف نسبة الخطر  لدى المدخنين السابقين بينما تزيد نسبة الخطر بدرجة بسيطة فقط لدى غير المدخنين (نسبة الأرجحية </w:t>
      </w:r>
      <w:r w:rsidRPr="00546C56">
        <w:rPr>
          <w:rFonts w:ascii="Arabic Typesetting" w:hAnsi="Arabic Typesetting" w:cs="Arabic Typesetting"/>
          <w:sz w:val="32"/>
          <w:szCs w:val="32"/>
          <w:lang w:val="en-US"/>
        </w:rPr>
        <w:t>1.05</w:t>
      </w:r>
      <w:r w:rsidRPr="00546C56">
        <w:rPr>
          <w:rFonts w:ascii="Arabic Typesetting" w:hAnsi="Arabic Typesetting" w:cs="Arabic Typesetting"/>
          <w:sz w:val="32"/>
          <w:szCs w:val="32"/>
          <w:rtl/>
          <w:lang w:val="en-US"/>
        </w:rPr>
        <w:t xml:space="preserve">، ما يساوي تعاطي أكثر من </w:t>
      </w:r>
      <w:r w:rsidRPr="00546C56">
        <w:rPr>
          <w:rFonts w:ascii="Arabic Typesetting" w:hAnsi="Arabic Typesetting" w:cs="Arabic Typesetting"/>
          <w:sz w:val="32"/>
          <w:szCs w:val="32"/>
          <w:lang w:val="en-US"/>
        </w:rPr>
        <w:t>50</w:t>
      </w:r>
      <w:r w:rsidRPr="00546C56">
        <w:rPr>
          <w:rFonts w:ascii="Arabic Typesetting" w:hAnsi="Arabic Typesetting" w:cs="Arabic Typesetting"/>
          <w:sz w:val="32"/>
          <w:szCs w:val="32"/>
          <w:rtl/>
          <w:lang w:val="en-US"/>
        </w:rPr>
        <w:t xml:space="preserve"> مجم يومياً من مكملات فيتامين إي نسبة الأرجحية </w:t>
      </w:r>
      <w:r w:rsidRPr="00546C56">
        <w:rPr>
          <w:rFonts w:ascii="Arabic Typesetting" w:hAnsi="Arabic Typesetting" w:cs="Arabic Typesetting"/>
          <w:sz w:val="32"/>
          <w:szCs w:val="32"/>
          <w:lang w:val="en-US"/>
        </w:rPr>
        <w:t>1.03-1.1</w:t>
      </w:r>
      <w:r w:rsidRPr="00546C56">
        <w:rPr>
          <w:rFonts w:ascii="Arabic Typesetting" w:hAnsi="Arabic Typesetting" w:cs="Arabic Typesetting"/>
          <w:sz w:val="32"/>
          <w:szCs w:val="32"/>
          <w:rtl/>
          <w:lang w:val="en-US"/>
        </w:rPr>
        <w:t xml:space="preserve">). [نسبة الأرجحية: إحتمالية حدوث شيء ما بالمقارنة مع إحتمالية عدم حدوثه – وهي ليست مثل الخطر النسبي وترجمة نسبة الأرجحية إلى نسبة زيادة مئوية قد يكون مضللاً بدرجة كبيرة، أنظر </w:t>
      </w:r>
      <w:hyperlink r:id="rId10" w:history="1">
        <w:r w:rsidRPr="00546C56">
          <w:rPr>
            <w:rStyle w:val="Hyperlink"/>
            <w:rFonts w:ascii="Arabic Typesetting" w:hAnsi="Arabic Typesetting" w:cs="Arabic Typesetting"/>
            <w:sz w:val="32"/>
            <w:szCs w:val="32"/>
          </w:rPr>
          <w:t>http://stats.org/stories/2008/odds_ratios_april4_2008.html</w:t>
        </w:r>
      </w:hyperlink>
      <w:r w:rsidRPr="00546C56">
        <w:rPr>
          <w:rFonts w:ascii="Arabic Typesetting" w:hAnsi="Arabic Typesetting" w:cs="Arabic Typesetting"/>
          <w:sz w:val="32"/>
          <w:szCs w:val="32"/>
          <w:rtl/>
        </w:rPr>
        <w:t xml:space="preserve">] الأشخاص الذين يتعرضون لدخان السجائر في الجو أثناء الصغر قد تتضاعف نسبة الخطر لديهم [نسبة الخطر – تساوي الخطر النسبي، </w:t>
      </w:r>
      <w:r w:rsidRPr="00546C56">
        <w:rPr>
          <w:rFonts w:ascii="Arabic Typesetting" w:hAnsi="Arabic Typesetting" w:cs="Arabic Typesetting"/>
          <w:sz w:val="32"/>
          <w:szCs w:val="32"/>
          <w:rtl/>
          <w:lang w:val="en-US"/>
        </w:rPr>
        <w:t xml:space="preserve">أنظر </w:t>
      </w:r>
      <w:hyperlink r:id="rId11" w:history="1">
        <w:r w:rsidRPr="00546C56">
          <w:rPr>
            <w:rStyle w:val="Hyperlink"/>
            <w:rFonts w:ascii="Arabic Typesetting" w:hAnsi="Arabic Typesetting" w:cs="Arabic Typesetting"/>
            <w:sz w:val="32"/>
            <w:szCs w:val="32"/>
          </w:rPr>
          <w:t>http://en.wikipedia.org/wiki/Hazard_ratio</w:t>
        </w:r>
      </w:hyperlink>
      <w:r w:rsidRPr="00546C56">
        <w:rPr>
          <w:rFonts w:ascii="Arabic Typesetting" w:hAnsi="Arabic Typesetting" w:cs="Arabic Typesetting"/>
          <w:sz w:val="32"/>
          <w:szCs w:val="32"/>
          <w:rtl/>
        </w:rPr>
        <w:t>]</w:t>
      </w:r>
    </w:p>
    <w:p w:rsidR="00061F74" w:rsidRPr="00546C56" w:rsidRDefault="00061F74" w:rsidP="002A6AB7">
      <w:pPr>
        <w:bidi/>
        <w:spacing w:after="120" w:line="240" w:lineRule="atLeast"/>
        <w:jc w:val="both"/>
        <w:rPr>
          <w:rFonts w:ascii="Arabic Typesetting" w:hAnsi="Arabic Typesetting" w:cs="Arabic Typesetting"/>
          <w:b/>
          <w:bCs/>
          <w:sz w:val="40"/>
          <w:szCs w:val="40"/>
          <w:rtl/>
        </w:rPr>
      </w:pPr>
      <w:r w:rsidRPr="00546C56">
        <w:rPr>
          <w:rFonts w:ascii="Arabic Typesetting" w:hAnsi="Arabic Typesetting" w:cs="Arabic Typesetting"/>
          <w:b/>
          <w:bCs/>
          <w:sz w:val="40"/>
          <w:szCs w:val="40"/>
          <w:rtl/>
        </w:rPr>
        <w:t>عوامل خطورة أخرى ودرجات التفاوت</w:t>
      </w:r>
    </w:p>
    <w:p w:rsidR="00061F74" w:rsidRPr="00546C56" w:rsidRDefault="00061F74" w:rsidP="002A6AB7">
      <w:pPr>
        <w:bidi/>
        <w:spacing w:after="120" w:line="240" w:lineRule="atLeast"/>
        <w:jc w:val="both"/>
        <w:rPr>
          <w:rFonts w:ascii="Arabic Typesetting" w:hAnsi="Arabic Typesetting" w:cs="Arabic Typesetting"/>
          <w:sz w:val="32"/>
          <w:szCs w:val="32"/>
          <w:rtl/>
          <w:lang w:val="en-US"/>
        </w:rPr>
      </w:pPr>
      <w:r w:rsidRPr="00546C56">
        <w:rPr>
          <w:rFonts w:ascii="Arabic Typesetting" w:hAnsi="Arabic Typesetting" w:cs="Arabic Typesetting"/>
          <w:sz w:val="32"/>
          <w:szCs w:val="32"/>
          <w:rtl/>
        </w:rPr>
        <w:t xml:space="preserve">إن مخاطر الاصابة بالسرطان بسبب التعرض لدخان السجائر (بعد ضبط القيم أعلاه إلى </w:t>
      </w:r>
      <w:r w:rsidRPr="00546C56">
        <w:rPr>
          <w:rFonts w:ascii="Arabic Typesetting" w:hAnsi="Arabic Typesetting" w:cs="Arabic Typesetting"/>
          <w:sz w:val="32"/>
          <w:szCs w:val="32"/>
          <w:rtl/>
          <w:lang w:val="en-US"/>
        </w:rPr>
        <w:t xml:space="preserve">نسبة وفاة </w:t>
      </w:r>
      <w:r w:rsidRPr="00546C56">
        <w:rPr>
          <w:rFonts w:ascii="Arabic Typesetting" w:hAnsi="Arabic Typesetting" w:cs="Arabic Typesetting"/>
          <w:sz w:val="32"/>
          <w:szCs w:val="32"/>
          <w:lang w:val="en-US"/>
        </w:rPr>
        <w:t>84%</w:t>
      </w:r>
      <w:r w:rsidRPr="00546C56">
        <w:rPr>
          <w:rFonts w:ascii="Arabic Typesetting" w:hAnsi="Arabic Typesetting" w:cs="Arabic Typesetting"/>
          <w:sz w:val="32"/>
          <w:szCs w:val="32"/>
          <w:rtl/>
          <w:lang w:val="en-US"/>
        </w:rPr>
        <w:t xml:space="preserve"> - تقريباً </w:t>
      </w:r>
      <w:r w:rsidRPr="00546C56">
        <w:rPr>
          <w:rFonts w:ascii="Arabic Typesetting" w:hAnsi="Arabic Typesetting" w:cs="Arabic Typesetting"/>
          <w:sz w:val="32"/>
          <w:szCs w:val="32"/>
          <w:lang w:val="en-US"/>
        </w:rPr>
        <w:t>18-38%</w:t>
      </w:r>
      <w:r w:rsidRPr="00546C56">
        <w:rPr>
          <w:rFonts w:ascii="Arabic Typesetting" w:hAnsi="Arabic Typesetting" w:cs="Arabic Typesetting"/>
          <w:sz w:val="32"/>
          <w:szCs w:val="32"/>
          <w:rtl/>
          <w:lang w:val="en-US"/>
        </w:rPr>
        <w:t xml:space="preserve"> و </w:t>
      </w:r>
      <w:r w:rsidRPr="00546C56">
        <w:rPr>
          <w:rFonts w:ascii="Arabic Typesetting" w:hAnsi="Arabic Typesetting" w:cs="Arabic Typesetting"/>
          <w:sz w:val="32"/>
          <w:szCs w:val="32"/>
          <w:lang w:val="en-US"/>
        </w:rPr>
        <w:t>28%</w:t>
      </w:r>
      <w:r w:rsidRPr="00546C56">
        <w:rPr>
          <w:rFonts w:ascii="Arabic Typesetting" w:hAnsi="Arabic Typesetting" w:cs="Arabic Typesetting"/>
          <w:sz w:val="32"/>
          <w:szCs w:val="32"/>
          <w:rtl/>
          <w:lang w:val="en-US"/>
        </w:rPr>
        <w:t xml:space="preserve"> على الترتيب) قد تكون أقل قليلاً من السكنى قرب طريق رئيسي (نسبة الأرجحية </w:t>
      </w:r>
      <w:r w:rsidRPr="00546C56">
        <w:rPr>
          <w:rFonts w:ascii="Arabic Typesetting" w:hAnsi="Arabic Typesetting" w:cs="Arabic Typesetting"/>
          <w:sz w:val="32"/>
          <w:szCs w:val="32"/>
          <w:lang w:val="en-US"/>
        </w:rPr>
        <w:t>1.47</w:t>
      </w:r>
      <w:r w:rsidRPr="00546C56">
        <w:rPr>
          <w:rFonts w:ascii="Arabic Typesetting" w:hAnsi="Arabic Typesetting" w:cs="Arabic Typesetting"/>
          <w:sz w:val="32"/>
          <w:szCs w:val="32"/>
          <w:rtl/>
          <w:lang w:val="en-US"/>
        </w:rPr>
        <w:t>)</w:t>
      </w:r>
      <w:r w:rsidRPr="00546C56">
        <w:rPr>
          <w:rFonts w:ascii="Arabic Typesetting" w:hAnsi="Arabic Typesetting" w:cs="Arabic Typesetting"/>
          <w:sz w:val="32"/>
          <w:szCs w:val="32"/>
          <w:lang w:val="en-US"/>
        </w:rPr>
        <w:t xml:space="preserve"> </w:t>
      </w:r>
      <w:r w:rsidRPr="00546C56">
        <w:rPr>
          <w:rFonts w:ascii="Arabic Typesetting" w:hAnsi="Arabic Typesetting" w:cs="Arabic Typesetting"/>
          <w:sz w:val="32"/>
          <w:szCs w:val="32"/>
          <w:rtl/>
          <w:lang w:val="en-US"/>
        </w:rPr>
        <w:t xml:space="preserve">) [نسبة الأرجحية: إحتمالية حدوث شيء ما بالمقارنة مع إحتمالية عدم حدوثه – وهي ليست مثل الخطر النسبي وترجمة نسبة الأرجحية إلى نسبة زيادة مئوية قد يكون مضللاً بدرجة كبيرة، أنظر </w:t>
      </w:r>
      <w:hyperlink r:id="rId12" w:history="1">
        <w:r w:rsidRPr="00546C56">
          <w:rPr>
            <w:rStyle w:val="Hyperlink"/>
            <w:rFonts w:ascii="Arabic Typesetting" w:hAnsi="Arabic Typesetting" w:cs="Arabic Typesetting"/>
            <w:sz w:val="32"/>
            <w:szCs w:val="32"/>
          </w:rPr>
          <w:t>http://stats.org/stories/2008/odds_ratios_april4_2008.html</w:t>
        </w:r>
      </w:hyperlink>
      <w:r w:rsidRPr="00546C56">
        <w:rPr>
          <w:rFonts w:ascii="Arabic Typesetting" w:hAnsi="Arabic Typesetting" w:cs="Arabic Typesetting"/>
          <w:sz w:val="32"/>
          <w:szCs w:val="32"/>
          <w:rtl/>
        </w:rPr>
        <w:t xml:space="preserve">]، وأقل من خطورة التعرض بدرجة كبيرة إلى غبار الخشب (نسبة الأرجحية </w:t>
      </w:r>
      <w:r w:rsidRPr="00546C56">
        <w:rPr>
          <w:rFonts w:ascii="Arabic Typesetting" w:hAnsi="Arabic Typesetting" w:cs="Arabic Typesetting"/>
          <w:sz w:val="32"/>
          <w:szCs w:val="32"/>
          <w:lang w:val="en-US"/>
        </w:rPr>
        <w:t>1.8</w:t>
      </w:r>
      <w:r w:rsidRPr="00546C56">
        <w:rPr>
          <w:rFonts w:ascii="Arabic Typesetting" w:hAnsi="Arabic Typesetting" w:cs="Arabic Typesetting"/>
          <w:sz w:val="32"/>
          <w:szCs w:val="32"/>
          <w:rtl/>
          <w:lang w:val="en-US"/>
        </w:rPr>
        <w:t xml:space="preserve">)، وأقل كثيراً من الخطورة طويلة المدى للتعرض للمذيبات (نسبة الأرجحية </w:t>
      </w:r>
      <w:r w:rsidRPr="00546C56">
        <w:rPr>
          <w:rFonts w:ascii="Arabic Typesetting" w:hAnsi="Arabic Typesetting" w:cs="Arabic Typesetting"/>
          <w:sz w:val="32"/>
          <w:szCs w:val="32"/>
          <w:lang w:val="en-US"/>
        </w:rPr>
        <w:t>2.8</w:t>
      </w:r>
      <w:r w:rsidRPr="00546C56">
        <w:rPr>
          <w:rFonts w:ascii="Arabic Typesetting" w:hAnsi="Arabic Typesetting" w:cs="Arabic Typesetting"/>
          <w:sz w:val="32"/>
          <w:szCs w:val="32"/>
          <w:rtl/>
          <w:lang w:val="en-US"/>
        </w:rPr>
        <w:t>) وجزء ضئيل من من خطورة التعاطي الكثيف للأطعمة المقلية بالنسبة لسيدة صينية (</w:t>
      </w:r>
      <w:r w:rsidRPr="00546C56">
        <w:rPr>
          <w:rFonts w:ascii="Arabic Typesetting" w:hAnsi="Arabic Typesetting" w:cs="Arabic Typesetting"/>
          <w:sz w:val="32"/>
          <w:szCs w:val="32"/>
          <w:lang w:val="en-US"/>
        </w:rPr>
        <w:t>4</w:t>
      </w:r>
      <w:r w:rsidRPr="00546C56">
        <w:rPr>
          <w:rFonts w:ascii="Arabic Typesetting" w:hAnsi="Arabic Typesetting" w:cs="Arabic Typesetting"/>
          <w:sz w:val="32"/>
          <w:szCs w:val="32"/>
          <w:rtl/>
          <w:lang w:val="en-US"/>
        </w:rPr>
        <w:t xml:space="preserve"> أطباق يومياً لمدة </w:t>
      </w:r>
      <w:r w:rsidRPr="00546C56">
        <w:rPr>
          <w:rFonts w:ascii="Arabic Typesetting" w:hAnsi="Arabic Typesetting" w:cs="Arabic Typesetting"/>
          <w:sz w:val="32"/>
          <w:szCs w:val="32"/>
          <w:lang w:val="en-US"/>
        </w:rPr>
        <w:t>25</w:t>
      </w:r>
      <w:r w:rsidRPr="00546C56">
        <w:rPr>
          <w:rFonts w:ascii="Arabic Typesetting" w:hAnsi="Arabic Typesetting" w:cs="Arabic Typesetting"/>
          <w:sz w:val="32"/>
          <w:szCs w:val="32"/>
          <w:rtl/>
          <w:lang w:val="en-US"/>
        </w:rPr>
        <w:t xml:space="preserve"> عاما) حيث يزيد الخطر أكثر من </w:t>
      </w:r>
      <w:r w:rsidRPr="00546C56">
        <w:rPr>
          <w:rFonts w:ascii="Arabic Typesetting" w:hAnsi="Arabic Typesetting" w:cs="Arabic Typesetting"/>
          <w:sz w:val="32"/>
          <w:szCs w:val="32"/>
          <w:lang w:val="en-US"/>
        </w:rPr>
        <w:t>300%</w:t>
      </w:r>
      <w:r w:rsidRPr="00546C56">
        <w:rPr>
          <w:rFonts w:ascii="Arabic Typesetting" w:hAnsi="Arabic Typesetting" w:cs="Arabic Typesetting"/>
          <w:sz w:val="32"/>
          <w:szCs w:val="32"/>
          <w:rtl/>
          <w:lang w:val="en-US"/>
        </w:rPr>
        <w:t xml:space="preserve"> (نسبة الأرجحية </w:t>
      </w:r>
      <w:r w:rsidRPr="00546C56">
        <w:rPr>
          <w:rFonts w:ascii="Arabic Typesetting" w:hAnsi="Arabic Typesetting" w:cs="Arabic Typesetting"/>
          <w:sz w:val="32"/>
          <w:szCs w:val="32"/>
          <w:lang w:val="en-US"/>
        </w:rPr>
        <w:t>1.92-6.15</w:t>
      </w:r>
      <w:r w:rsidRPr="00546C56">
        <w:rPr>
          <w:rFonts w:ascii="Arabic Typesetting" w:hAnsi="Arabic Typesetting" w:cs="Arabic Typesetting"/>
          <w:sz w:val="32"/>
          <w:szCs w:val="32"/>
          <w:rtl/>
          <w:lang w:val="en-US"/>
        </w:rPr>
        <w:t xml:space="preserve">). وهي تزيد بدرجة صغيرة عن التعرض لدخان الخشب أو الفحم عند الطهو أو التدفئة في أوروبا (نسبة الأرجحية </w:t>
      </w:r>
      <w:r w:rsidRPr="00546C56">
        <w:rPr>
          <w:rFonts w:ascii="Arabic Typesetting" w:hAnsi="Arabic Typesetting" w:cs="Arabic Typesetting"/>
          <w:sz w:val="32"/>
          <w:szCs w:val="32"/>
          <w:lang w:val="en-US"/>
        </w:rPr>
        <w:t>1.24</w:t>
      </w:r>
      <w:r w:rsidRPr="00546C56">
        <w:rPr>
          <w:rFonts w:ascii="Arabic Typesetting" w:hAnsi="Arabic Typesetting" w:cs="Arabic Typesetting"/>
          <w:sz w:val="32"/>
          <w:szCs w:val="32"/>
          <w:rtl/>
          <w:lang w:val="en-US"/>
        </w:rPr>
        <w:t>). وخطورة حدوث سرطان الرئة نتيجة التعرض لدخان السجائر ليست حصرية ولا يمكن احتسابها منفصلة عن مسببات تلوث الهواء الأخرى.</w:t>
      </w:r>
    </w:p>
    <w:p w:rsidR="00061F74" w:rsidRPr="00546C56" w:rsidRDefault="00061F74" w:rsidP="002A6AB7">
      <w:pPr>
        <w:bidi/>
        <w:spacing w:after="120" w:line="240" w:lineRule="atLeast"/>
        <w:jc w:val="both"/>
        <w:rPr>
          <w:rFonts w:ascii="Arabic Typesetting" w:hAnsi="Arabic Typesetting" w:cs="Arabic Typesetting"/>
          <w:sz w:val="32"/>
          <w:szCs w:val="32"/>
          <w:rtl/>
          <w:lang w:val="en-US"/>
        </w:rPr>
      </w:pPr>
      <w:r w:rsidRPr="00546C56">
        <w:rPr>
          <w:rFonts w:ascii="Arabic Typesetting" w:hAnsi="Arabic Typesetting" w:cs="Arabic Typesetting"/>
          <w:sz w:val="32"/>
          <w:szCs w:val="32"/>
          <w:rtl/>
          <w:lang w:val="en-US"/>
        </w:rPr>
        <w:t xml:space="preserve">واحتمالية وفاة المدخنون اليابانيون الذكور بسبب سرطان الرئة أقل بنسبة </w:t>
      </w:r>
      <w:r w:rsidRPr="00546C56">
        <w:rPr>
          <w:rFonts w:ascii="Arabic Typesetting" w:hAnsi="Arabic Typesetting" w:cs="Arabic Typesetting"/>
          <w:sz w:val="32"/>
          <w:szCs w:val="32"/>
          <w:lang w:val="en-US"/>
        </w:rPr>
        <w:t>66%</w:t>
      </w:r>
      <w:r w:rsidRPr="00546C56">
        <w:rPr>
          <w:rFonts w:ascii="Arabic Typesetting" w:hAnsi="Arabic Typesetting" w:cs="Arabic Typesetting"/>
          <w:sz w:val="32"/>
          <w:szCs w:val="32"/>
          <w:rtl/>
          <w:lang w:val="en-US"/>
        </w:rPr>
        <w:t xml:space="preserve"> مقارنة بالمدخنين في الولايات المتحدة، ولكن بالنسبة لغير المدخنين فإن الوفاة بسبب سرطان الرئة أكثر ب</w:t>
      </w:r>
      <w:r w:rsidRPr="00546C56">
        <w:rPr>
          <w:rFonts w:ascii="Arabic Typesetting" w:hAnsi="Arabic Typesetting" w:cs="Arabic Typesetting"/>
          <w:sz w:val="32"/>
          <w:szCs w:val="32"/>
          <w:lang w:val="en-US"/>
        </w:rPr>
        <w:t>2-3</w:t>
      </w:r>
      <w:r w:rsidRPr="00546C56">
        <w:rPr>
          <w:rFonts w:ascii="Arabic Typesetting" w:hAnsi="Arabic Typesetting" w:cs="Arabic Typesetting"/>
          <w:sz w:val="32"/>
          <w:szCs w:val="32"/>
          <w:rtl/>
          <w:lang w:val="en-US"/>
        </w:rPr>
        <w:t xml:space="preserve"> مرات لدى اليابانيين مقارنة بالأشخاص في الولايات المتحدة. هذا التفاوت ليس حصرياً: فسرطان الرئة لا يجب ربطه بعامل واحد بل يمكن أن يتأثر بالبيئة المحيطة والوراثة والعوامل الغذائية.</w:t>
      </w:r>
    </w:p>
    <w:p w:rsidR="00061F74" w:rsidRPr="00546C56" w:rsidRDefault="00061F74" w:rsidP="002A6AB7">
      <w:pPr>
        <w:bidi/>
        <w:spacing w:after="120" w:line="240" w:lineRule="atLeast"/>
        <w:jc w:val="both"/>
        <w:rPr>
          <w:rFonts w:ascii="Arabic Typesetting" w:hAnsi="Arabic Typesetting" w:cs="Arabic Typesetting"/>
          <w:b/>
          <w:bCs/>
          <w:sz w:val="40"/>
          <w:szCs w:val="40"/>
          <w:rtl/>
        </w:rPr>
      </w:pPr>
      <w:r w:rsidRPr="00546C56">
        <w:rPr>
          <w:rFonts w:ascii="Arabic Typesetting" w:hAnsi="Arabic Typesetting" w:cs="Arabic Typesetting"/>
          <w:b/>
          <w:bCs/>
          <w:sz w:val="40"/>
          <w:szCs w:val="40"/>
          <w:rtl/>
        </w:rPr>
        <w:t xml:space="preserve">التأثير على الدورة الدموية والقلب </w:t>
      </w:r>
    </w:p>
    <w:p w:rsidR="00720850" w:rsidRPr="00546C56" w:rsidRDefault="00061F74" w:rsidP="002A6AB7">
      <w:pPr>
        <w:bidi/>
        <w:spacing w:after="120" w:line="240" w:lineRule="atLeast"/>
        <w:jc w:val="both"/>
        <w:rPr>
          <w:rFonts w:ascii="Arabic Typesetting" w:hAnsi="Arabic Typesetting" w:cs="Arabic Typesetting"/>
          <w:sz w:val="32"/>
          <w:szCs w:val="32"/>
        </w:rPr>
      </w:pPr>
      <w:r w:rsidRPr="00546C56">
        <w:rPr>
          <w:rFonts w:ascii="Arabic Typesetting" w:hAnsi="Arabic Typesetting" w:cs="Arabic Typesetting"/>
          <w:rtl/>
        </w:rPr>
        <w:t>ك</w:t>
      </w:r>
      <w:r w:rsidRPr="00546C56">
        <w:rPr>
          <w:rFonts w:ascii="Arabic Typesetting" w:hAnsi="Arabic Typesetting" w:cs="Arabic Typesetting"/>
          <w:sz w:val="32"/>
          <w:szCs w:val="32"/>
          <w:rtl/>
        </w:rPr>
        <w:t xml:space="preserve">ونك ذكراً مدخناً يزيد بأكثر من الضعف خطر وفاتك بمضاعفات في الدورة الدموية والقلب، في حين يزيد تعرضك لدخان السجائر من حدوث متاعب في الدورة الدموية والقلب لديك بنسبة </w:t>
      </w:r>
      <w:r w:rsidRPr="00546C56">
        <w:rPr>
          <w:rFonts w:ascii="Arabic Typesetting" w:hAnsi="Arabic Typesetting" w:cs="Arabic Typesetting"/>
          <w:sz w:val="32"/>
          <w:szCs w:val="32"/>
          <w:lang w:val="en-US"/>
        </w:rPr>
        <w:t>30%</w:t>
      </w:r>
      <w:r w:rsidRPr="00546C56">
        <w:rPr>
          <w:rFonts w:ascii="Arabic Typesetting" w:hAnsi="Arabic Typesetting" w:cs="Arabic Typesetting"/>
          <w:sz w:val="32"/>
          <w:szCs w:val="32"/>
          <w:rtl/>
          <w:lang w:val="en-US"/>
        </w:rPr>
        <w:t>. و للرصاص، في الأغلب، دور هام في حدوث ذلك، عن طريق الزيادة الطفيفة في مستويات الرصاص بالدم والتي تزيد بدرجة كبيرة مخاطر حدوث متاعب في الدورة الدموية والقلب.</w:t>
      </w:r>
    </w:p>
    <w:p w:rsidR="00720850" w:rsidRPr="00546C56" w:rsidRDefault="00061F74" w:rsidP="002A6AB7">
      <w:pPr>
        <w:bidi/>
        <w:spacing w:after="120" w:line="240" w:lineRule="atLeast"/>
        <w:jc w:val="both"/>
        <w:rPr>
          <w:rFonts w:ascii="Arabic Typesetting" w:hAnsi="Arabic Typesetting" w:cs="Arabic Typesetting"/>
          <w:b/>
          <w:bCs/>
          <w:sz w:val="36"/>
          <w:szCs w:val="36"/>
        </w:rPr>
      </w:pPr>
      <w:r w:rsidRPr="00546C56">
        <w:rPr>
          <w:rFonts w:ascii="Arabic Typesetting" w:hAnsi="Arabic Typesetting" w:cs="Arabic Typesetting"/>
          <w:b/>
          <w:bCs/>
          <w:sz w:val="36"/>
          <w:szCs w:val="36"/>
          <w:rtl/>
          <w:lang w:val="en-US"/>
        </w:rPr>
        <w:t>ما هو تأثير التدخين والتعرض لدخان السجائر على الجنين ولماذا يجب على السيدات الحوامل الامتناع عن التدخين</w:t>
      </w:r>
    </w:p>
    <w:p w:rsidR="00061F74" w:rsidRPr="00546C56" w:rsidRDefault="00061F74" w:rsidP="002A6AB7">
      <w:pPr>
        <w:bidi/>
        <w:spacing w:after="120" w:line="240" w:lineRule="atLeast"/>
        <w:jc w:val="both"/>
        <w:rPr>
          <w:rFonts w:ascii="Arabic Typesetting" w:hAnsi="Arabic Typesetting" w:cs="Arabic Typesetting"/>
          <w:sz w:val="32"/>
          <w:szCs w:val="32"/>
          <w:rtl/>
        </w:rPr>
      </w:pPr>
      <w:r w:rsidRPr="00546C56">
        <w:rPr>
          <w:rFonts w:ascii="Arabic Typesetting" w:hAnsi="Arabic Typesetting" w:cs="Arabic Typesetting"/>
          <w:sz w:val="32"/>
          <w:szCs w:val="32"/>
          <w:rtl/>
          <w:lang w:val="en-US"/>
        </w:rPr>
        <w:t>إن كل</w:t>
      </w:r>
      <w:r w:rsidRPr="00546C56">
        <w:rPr>
          <w:rFonts w:ascii="Arabic Typesetting" w:hAnsi="Arabic Typesetting" w:cs="Arabic Typesetting"/>
          <w:sz w:val="32"/>
          <w:szCs w:val="32"/>
          <w:rtl/>
        </w:rPr>
        <w:t>اً</w:t>
      </w:r>
      <w:r w:rsidRPr="00546C56">
        <w:rPr>
          <w:rFonts w:ascii="Arabic Typesetting" w:hAnsi="Arabic Typesetting" w:cs="Arabic Typesetting"/>
          <w:sz w:val="32"/>
          <w:szCs w:val="32"/>
          <w:rtl/>
          <w:lang w:val="en-US"/>
        </w:rPr>
        <w:t xml:space="preserve"> من التعرض لدخان السجائر والرصاص، سواء من السجائر أو من أي شيء آخر، يؤثران بشكل كبير على النمو الفكري والسلوكي. فكلاهما يزيد خطر حدوث الولادة السابقة للموعد وانخفاض معدل الذكاء واضطرابات نقص الانتباه واضطرابات زيادة النشاط المصاحب لنقص الانتباه. فالتعرض لدخان السجائر والرصاص لهما تأثير تآزري (يزيد أحدهما الآخر)، ويسهم في توضيح هذا التأثير حقيقة أن الأم التي تكون من الثلث الأكثر تعرضا</w:t>
      </w:r>
      <w:r w:rsidRPr="00546C56">
        <w:rPr>
          <w:rFonts w:ascii="Arabic Typesetting" w:hAnsi="Arabic Typesetting" w:cs="Arabic Typesetting"/>
          <w:sz w:val="32"/>
          <w:szCs w:val="32"/>
          <w:rtl/>
        </w:rPr>
        <w:t xml:space="preserve">ً لدخان التبغ قبل الولادة في الولايات المتحدة (التدخين أو التعرض لدخان السجائر) والطفل الذي تكون مستويات الرصاص بالدم لديه </w:t>
      </w:r>
      <w:r w:rsidRPr="00546C56">
        <w:rPr>
          <w:rFonts w:ascii="Arabic Typesetting" w:hAnsi="Arabic Typesetting" w:cs="Arial"/>
          <w:sz w:val="32"/>
          <w:szCs w:val="32"/>
          <w:rtl/>
        </w:rPr>
        <w:t>≥</w:t>
      </w:r>
      <w:r w:rsidRPr="00546C56">
        <w:rPr>
          <w:rFonts w:ascii="Arabic Typesetting" w:hAnsi="Arabic Typesetting" w:cs="Arabic Typesetting"/>
          <w:sz w:val="32"/>
          <w:szCs w:val="32"/>
          <w:rtl/>
        </w:rPr>
        <w:t xml:space="preserve"> </w:t>
      </w:r>
      <w:r w:rsidRPr="00546C56">
        <w:rPr>
          <w:rFonts w:ascii="Arabic Typesetting" w:hAnsi="Arabic Typesetting" w:cs="Arabic Typesetting"/>
          <w:sz w:val="32"/>
          <w:szCs w:val="32"/>
        </w:rPr>
        <w:t>1.3</w:t>
      </w:r>
      <w:r w:rsidRPr="00546C56">
        <w:rPr>
          <w:rFonts w:ascii="Arabic Typesetting" w:hAnsi="Arabic Typesetting" w:cs="Arabic Typesetting"/>
          <w:sz w:val="32"/>
          <w:szCs w:val="32"/>
          <w:rtl/>
        </w:rPr>
        <w:t xml:space="preserve"> ميكروجرام/دل (ثلث المراهقين الامريكيين) يزيد من خطر حودث </w:t>
      </w:r>
      <w:r w:rsidRPr="00546C56">
        <w:rPr>
          <w:rFonts w:ascii="Arabic Typesetting" w:hAnsi="Arabic Typesetting" w:cs="Arabic Typesetting"/>
          <w:sz w:val="32"/>
          <w:szCs w:val="32"/>
          <w:rtl/>
          <w:lang w:val="en-US"/>
        </w:rPr>
        <w:t>اضطرابات زيادة النشاط المصاحب لنقص الانتباه عند الطفل بثماني مرات، في حين أن أيا</w:t>
      </w:r>
      <w:r w:rsidRPr="00546C56">
        <w:rPr>
          <w:rFonts w:ascii="Arabic Typesetting" w:hAnsi="Arabic Typesetting" w:cs="Arabic Typesetting"/>
          <w:sz w:val="32"/>
          <w:szCs w:val="32"/>
          <w:rtl/>
        </w:rPr>
        <w:t>ً من هذان العاملان منفصلاً يزيد الخطر بنسبة الضعف فقط.</w:t>
      </w:r>
    </w:p>
    <w:p w:rsidR="00061F74" w:rsidRPr="00546C56" w:rsidRDefault="00061F74" w:rsidP="002A6AB7">
      <w:pPr>
        <w:bidi/>
        <w:spacing w:after="120" w:line="240" w:lineRule="atLeast"/>
        <w:jc w:val="both"/>
        <w:rPr>
          <w:rFonts w:ascii="Arabic Typesetting" w:hAnsi="Arabic Typesetting" w:cs="Arabic Typesetting"/>
          <w:sz w:val="32"/>
          <w:szCs w:val="32"/>
          <w:rtl/>
          <w:lang w:val="en-US"/>
        </w:rPr>
      </w:pPr>
      <w:r w:rsidRPr="00546C56">
        <w:rPr>
          <w:rFonts w:ascii="Arabic Typesetting" w:hAnsi="Arabic Typesetting" w:cs="Arabic Typesetting"/>
          <w:sz w:val="32"/>
          <w:szCs w:val="32"/>
          <w:rtl/>
        </w:rPr>
        <w:lastRenderedPageBreak/>
        <w:t xml:space="preserve">والتدخين أثناء الحمل قد يكون تأثيره على مستويات الرصاص بالدم لدى الأطفال أكبر من التعرض لدخان السجائر بعد الولادة، بمعدل زيادة لمستويات الرصاص بدم الحبل السري قدره </w:t>
      </w:r>
      <w:r w:rsidRPr="00546C56">
        <w:rPr>
          <w:rFonts w:ascii="Arabic Typesetting" w:hAnsi="Arabic Typesetting" w:cs="Arabic Typesetting"/>
          <w:sz w:val="32"/>
          <w:szCs w:val="32"/>
          <w:lang w:val="en-US"/>
        </w:rPr>
        <w:t>15%</w:t>
      </w:r>
      <w:r w:rsidRPr="00546C56">
        <w:rPr>
          <w:rFonts w:ascii="Arabic Typesetting" w:hAnsi="Arabic Typesetting" w:cs="Arabic Typesetting"/>
          <w:sz w:val="32"/>
          <w:szCs w:val="32"/>
          <w:rtl/>
          <w:lang w:val="en-US"/>
        </w:rPr>
        <w:t xml:space="preserve"> لكل </w:t>
      </w:r>
      <w:r w:rsidRPr="00546C56">
        <w:rPr>
          <w:rFonts w:ascii="Arabic Typesetting" w:hAnsi="Arabic Typesetting" w:cs="Arabic Typesetting"/>
          <w:sz w:val="32"/>
          <w:szCs w:val="32"/>
          <w:lang w:val="en-US"/>
        </w:rPr>
        <w:t>10</w:t>
      </w:r>
      <w:r w:rsidRPr="00546C56">
        <w:rPr>
          <w:rFonts w:ascii="Arabic Typesetting" w:hAnsi="Arabic Typesetting" w:cs="Arabic Typesetting"/>
          <w:sz w:val="32"/>
          <w:szCs w:val="32"/>
          <w:rtl/>
          <w:lang w:val="en-US"/>
        </w:rPr>
        <w:t xml:space="preserve"> سجائر يتم تدخينها في اليوم حسب إحصاءات عام </w:t>
      </w:r>
      <w:r w:rsidRPr="00546C56">
        <w:rPr>
          <w:rFonts w:ascii="Arabic Typesetting" w:hAnsi="Arabic Typesetting" w:cs="Arabic Typesetting"/>
          <w:sz w:val="32"/>
          <w:szCs w:val="32"/>
          <w:lang w:val="en-US"/>
        </w:rPr>
        <w:t>1990</w:t>
      </w:r>
      <w:r w:rsidRPr="00546C56">
        <w:rPr>
          <w:rFonts w:ascii="Arabic Typesetting" w:hAnsi="Arabic Typesetting" w:cs="Arabic Typesetting"/>
          <w:sz w:val="32"/>
          <w:szCs w:val="32"/>
          <w:rtl/>
          <w:lang w:val="en-US"/>
        </w:rPr>
        <w:t>.</w:t>
      </w:r>
    </w:p>
    <w:p w:rsidR="00061F74" w:rsidRPr="00546C56" w:rsidRDefault="00061F74" w:rsidP="002A6AB7">
      <w:pPr>
        <w:bidi/>
        <w:spacing w:after="120" w:line="240" w:lineRule="atLeast"/>
        <w:jc w:val="both"/>
        <w:rPr>
          <w:rFonts w:ascii="Arabic Typesetting" w:hAnsi="Arabic Typesetting" w:cs="Arabic Typesetting"/>
          <w:b/>
          <w:bCs/>
          <w:sz w:val="32"/>
          <w:szCs w:val="32"/>
          <w:rtl/>
          <w:lang w:val="en-US"/>
        </w:rPr>
      </w:pPr>
      <w:r w:rsidRPr="00546C56">
        <w:rPr>
          <w:rFonts w:ascii="Arabic Typesetting" w:hAnsi="Arabic Typesetting" w:cs="Arabic Typesetting"/>
          <w:b/>
          <w:bCs/>
          <w:sz w:val="40"/>
          <w:szCs w:val="40"/>
          <w:rtl/>
          <w:lang w:val="en-US"/>
        </w:rPr>
        <w:t>التدخين والتعرض لدخان السجائر ومستويات الرصاص بالدم</w:t>
      </w:r>
    </w:p>
    <w:p w:rsidR="00061F74" w:rsidRPr="00546C56" w:rsidRDefault="00061F74" w:rsidP="002A6AB7">
      <w:pPr>
        <w:bidi/>
        <w:spacing w:after="120" w:line="240" w:lineRule="atLeast"/>
        <w:jc w:val="both"/>
        <w:rPr>
          <w:rFonts w:ascii="Arabic Typesetting" w:hAnsi="Arabic Typesetting" w:cs="Arabic Typesetting"/>
          <w:sz w:val="32"/>
          <w:szCs w:val="32"/>
          <w:rtl/>
          <w:lang w:val="en-US"/>
        </w:rPr>
      </w:pPr>
      <w:r w:rsidRPr="00546C56">
        <w:rPr>
          <w:rFonts w:ascii="Arabic Typesetting" w:hAnsi="Arabic Typesetting" w:cs="Arabic Typesetting"/>
          <w:sz w:val="32"/>
          <w:szCs w:val="32"/>
          <w:rtl/>
          <w:lang w:val="en-US"/>
        </w:rPr>
        <w:t xml:space="preserve">أن تكون مدخناً في الولايات المتحدة بين عامي </w:t>
      </w:r>
      <w:r w:rsidRPr="00546C56">
        <w:rPr>
          <w:rFonts w:ascii="Arabic Typesetting" w:hAnsi="Arabic Typesetting" w:cs="Arabic Typesetting"/>
          <w:sz w:val="32"/>
          <w:szCs w:val="32"/>
          <w:lang w:val="en-US"/>
        </w:rPr>
        <w:t>1998</w:t>
      </w:r>
      <w:r w:rsidRPr="00546C56">
        <w:rPr>
          <w:rFonts w:ascii="Arabic Typesetting" w:hAnsi="Arabic Typesetting" w:cs="Arabic Typesetting"/>
          <w:sz w:val="32"/>
          <w:szCs w:val="32"/>
          <w:rtl/>
          <w:lang w:val="en-US"/>
        </w:rPr>
        <w:t>-</w:t>
      </w:r>
      <w:r w:rsidRPr="00546C56">
        <w:rPr>
          <w:rFonts w:ascii="Arabic Typesetting" w:hAnsi="Arabic Typesetting" w:cs="Arabic Typesetting"/>
          <w:sz w:val="32"/>
          <w:szCs w:val="32"/>
          <w:lang w:val="en-US"/>
        </w:rPr>
        <w:t>2002</w:t>
      </w:r>
      <w:r w:rsidRPr="00546C56">
        <w:rPr>
          <w:rFonts w:ascii="Arabic Typesetting" w:hAnsi="Arabic Typesetting" w:cs="Arabic Typesetting"/>
          <w:sz w:val="32"/>
          <w:szCs w:val="32"/>
          <w:rtl/>
          <w:lang w:val="en-US"/>
        </w:rPr>
        <w:t xml:space="preserve"> يزيد بثلاثة أضعاف خطر ارتفاع نسبة الرصاص بالدم لديك فوق </w:t>
      </w:r>
      <w:r w:rsidRPr="00546C56">
        <w:rPr>
          <w:rFonts w:ascii="Arabic Typesetting" w:hAnsi="Arabic Typesetting" w:cs="Arabic Typesetting"/>
          <w:sz w:val="32"/>
          <w:szCs w:val="32"/>
          <w:lang w:val="en-US"/>
        </w:rPr>
        <w:t>5</w:t>
      </w:r>
      <w:r w:rsidRPr="00546C56">
        <w:rPr>
          <w:rFonts w:ascii="Arabic Typesetting" w:hAnsi="Arabic Typesetting" w:cs="Arabic Typesetting"/>
          <w:sz w:val="32"/>
          <w:szCs w:val="32"/>
          <w:rtl/>
          <w:lang w:val="en-US"/>
        </w:rPr>
        <w:t xml:space="preserve"> ميكروجرام/دل.</w:t>
      </w:r>
    </w:p>
    <w:p w:rsidR="00061F74" w:rsidRPr="00546C56" w:rsidRDefault="00061F74" w:rsidP="002A6AB7">
      <w:pPr>
        <w:bidi/>
        <w:spacing w:after="120" w:line="240" w:lineRule="atLeast"/>
        <w:jc w:val="both"/>
        <w:rPr>
          <w:rFonts w:ascii="Arabic Typesetting" w:hAnsi="Arabic Typesetting" w:cs="Arabic Typesetting"/>
          <w:sz w:val="32"/>
          <w:szCs w:val="32"/>
          <w:rtl/>
          <w:lang w:val="en-US"/>
        </w:rPr>
      </w:pPr>
      <w:r w:rsidRPr="00546C56">
        <w:rPr>
          <w:rFonts w:ascii="Arabic Typesetting" w:hAnsi="Arabic Typesetting" w:cs="Arabic Typesetting"/>
          <w:sz w:val="32"/>
          <w:szCs w:val="32"/>
          <w:rtl/>
          <w:lang w:val="en-US"/>
        </w:rPr>
        <w:t xml:space="preserve">إن الأطفال في الولايات المتحدة الذين تعرضوا بدرجة عالية لدخان السجائر في الفترة بين عامى </w:t>
      </w:r>
      <w:r w:rsidRPr="00546C56">
        <w:rPr>
          <w:rFonts w:ascii="Arabic Typesetting" w:hAnsi="Arabic Typesetting" w:cs="Arabic Typesetting"/>
          <w:sz w:val="32"/>
          <w:szCs w:val="32"/>
          <w:lang w:val="en-US"/>
        </w:rPr>
        <w:t>1988</w:t>
      </w:r>
      <w:r w:rsidRPr="00546C56">
        <w:rPr>
          <w:rFonts w:ascii="Arabic Typesetting" w:hAnsi="Arabic Typesetting" w:cs="Arabic Typesetting"/>
          <w:sz w:val="32"/>
          <w:szCs w:val="32"/>
          <w:rtl/>
          <w:lang w:val="en-US"/>
        </w:rPr>
        <w:t>-</w:t>
      </w:r>
      <w:r w:rsidRPr="00546C56">
        <w:rPr>
          <w:rFonts w:ascii="Arabic Typesetting" w:hAnsi="Arabic Typesetting" w:cs="Arabic Typesetting"/>
          <w:sz w:val="32"/>
          <w:szCs w:val="32"/>
          <w:lang w:val="en-US"/>
        </w:rPr>
        <w:t>1994</w:t>
      </w:r>
      <w:r w:rsidRPr="00546C56">
        <w:rPr>
          <w:rFonts w:ascii="Arabic Typesetting" w:hAnsi="Arabic Typesetting" w:cs="Arabic Typesetting"/>
          <w:sz w:val="32"/>
          <w:szCs w:val="32"/>
          <w:rtl/>
          <w:lang w:val="en-US"/>
        </w:rPr>
        <w:t xml:space="preserve"> كانوا أكثر عرضة بأربعة أضعاف لأن تكون مستويات الرصاص بالدم لديهم فوق </w:t>
      </w:r>
      <w:r w:rsidRPr="00546C56">
        <w:rPr>
          <w:rFonts w:ascii="Arabic Typesetting" w:hAnsi="Arabic Typesetting" w:cs="Arabic Typesetting"/>
          <w:sz w:val="32"/>
          <w:szCs w:val="32"/>
          <w:lang w:val="en-US"/>
        </w:rPr>
        <w:t>10</w:t>
      </w:r>
      <w:r w:rsidRPr="00546C56">
        <w:rPr>
          <w:rFonts w:ascii="Arabic Typesetting" w:hAnsi="Arabic Typesetting" w:cs="Arabic Typesetting"/>
          <w:sz w:val="32"/>
          <w:szCs w:val="32"/>
          <w:rtl/>
          <w:lang w:val="en-US"/>
        </w:rPr>
        <w:t xml:space="preserve"> ميكروجرام/دل وأن مستويات الرصاص بالدم لديهم كانت أعلى بنسبة </w:t>
      </w:r>
      <w:r w:rsidRPr="00546C56">
        <w:rPr>
          <w:rFonts w:ascii="Arabic Typesetting" w:hAnsi="Arabic Typesetting" w:cs="Arabic Typesetting"/>
          <w:sz w:val="32"/>
          <w:szCs w:val="32"/>
          <w:lang w:val="en-US"/>
        </w:rPr>
        <w:t>38%</w:t>
      </w:r>
      <w:r w:rsidRPr="00546C56">
        <w:rPr>
          <w:rFonts w:ascii="Arabic Typesetting" w:hAnsi="Arabic Typesetting" w:cs="Arabic Typesetting"/>
          <w:sz w:val="32"/>
          <w:szCs w:val="32"/>
          <w:rtl/>
          <w:lang w:val="en-US"/>
        </w:rPr>
        <w:t xml:space="preserve"> من الأطفال الذين كان تعرضهم لدخان السجائر قليلاً. وفي التسعينات حين بدأ استبدال الوقود المحتوى على الرصاص بالوقود الخالي منه فإن محتوى السجائر المباعة في الدول الغربية انخفض بمقدار النصف تقريباً وكذلك انخفض التعرض لدخان السجائر بالنسبة للأطفال الأميركيين الذين لا يدخن ذويهم بمقدار الثلثين. ومع ذلك، فإن هذا التراجع تم لدى جميع الأطفال بين </w:t>
      </w:r>
      <w:r w:rsidRPr="00546C56">
        <w:rPr>
          <w:rFonts w:ascii="Arabic Typesetting" w:hAnsi="Arabic Typesetting" w:cs="Arabic Typesetting"/>
          <w:sz w:val="32"/>
          <w:szCs w:val="32"/>
          <w:lang w:val="en-US"/>
        </w:rPr>
        <w:t>4</w:t>
      </w:r>
      <w:r w:rsidRPr="00546C56">
        <w:rPr>
          <w:rFonts w:ascii="Arabic Typesetting" w:hAnsi="Arabic Typesetting" w:cs="Arabic Typesetting"/>
          <w:sz w:val="32"/>
          <w:szCs w:val="32"/>
          <w:rtl/>
          <w:lang w:val="en-US"/>
        </w:rPr>
        <w:t>-</w:t>
      </w:r>
      <w:r w:rsidRPr="00546C56">
        <w:rPr>
          <w:rFonts w:ascii="Arabic Typesetting" w:hAnsi="Arabic Typesetting" w:cs="Arabic Typesetting"/>
          <w:sz w:val="32"/>
          <w:szCs w:val="32"/>
          <w:lang w:val="en-US"/>
        </w:rPr>
        <w:t>11</w:t>
      </w:r>
      <w:r w:rsidRPr="00546C56">
        <w:rPr>
          <w:rFonts w:ascii="Arabic Typesetting" w:hAnsi="Arabic Typesetting" w:cs="Arabic Typesetting"/>
          <w:sz w:val="32"/>
          <w:szCs w:val="32"/>
          <w:rtl/>
          <w:lang w:val="en-US" w:bidi="ar-EG"/>
        </w:rPr>
        <w:t xml:space="preserve"> </w:t>
      </w:r>
      <w:r w:rsidRPr="00546C56">
        <w:rPr>
          <w:rFonts w:ascii="Arabic Typesetting" w:hAnsi="Arabic Typesetting" w:cs="Arabic Typesetting"/>
          <w:sz w:val="32"/>
          <w:szCs w:val="32"/>
          <w:rtl/>
          <w:lang w:val="en-US"/>
        </w:rPr>
        <w:t>عاماً (</w:t>
      </w:r>
      <w:r w:rsidRPr="00546C56">
        <w:rPr>
          <w:rFonts w:ascii="Arabic Typesetting" w:hAnsi="Arabic Typesetting" w:cs="Arabic Typesetting"/>
          <w:sz w:val="32"/>
          <w:szCs w:val="32"/>
          <w:lang w:val="en-US"/>
        </w:rPr>
        <w:t>37.7%</w:t>
      </w:r>
      <w:r w:rsidRPr="00546C56">
        <w:rPr>
          <w:rFonts w:ascii="Arabic Typesetting" w:hAnsi="Arabic Typesetting" w:cs="Arabic Typesetting"/>
          <w:sz w:val="32"/>
          <w:szCs w:val="32"/>
          <w:rtl/>
          <w:lang w:val="en-US"/>
        </w:rPr>
        <w:t>)، ولا يمكن الاعتداد به كتلوث لغبار البيئة المنزلية برصاص السجائر. فالأطفال الذين يدخن ذويهم مازالوا مهددين  بخطر زيادة نسبة الرصاص لديهم، هذا الخطر غالباً ما يكون أكبر عند الرضع الذين تزيد لديهم قابلية امتصاص الرصاص ويكون تعرضهم للرصاص الموجود في المنازل أكبر.</w:t>
      </w:r>
    </w:p>
    <w:p w:rsidR="00061F74" w:rsidRPr="00546C56" w:rsidRDefault="00061F74" w:rsidP="002A6AB7">
      <w:pPr>
        <w:bidi/>
        <w:spacing w:after="120" w:line="240" w:lineRule="atLeast"/>
        <w:jc w:val="both"/>
        <w:rPr>
          <w:rFonts w:ascii="Arabic Typesetting" w:hAnsi="Arabic Typesetting" w:cs="Arabic Typesetting"/>
          <w:sz w:val="40"/>
          <w:szCs w:val="40"/>
        </w:rPr>
      </w:pPr>
      <w:r w:rsidRPr="00546C56">
        <w:rPr>
          <w:rFonts w:ascii="Arabic Typesetting" w:hAnsi="Arabic Typesetting" w:cs="Arabic Typesetting"/>
          <w:sz w:val="32"/>
          <w:szCs w:val="32"/>
          <w:rtl/>
          <w:lang w:val="en-US"/>
        </w:rPr>
        <w:t xml:space="preserve">إن تأثير التعرض لدخان السجائر في الفترة بين عامي </w:t>
      </w:r>
      <w:r w:rsidRPr="00546C56">
        <w:rPr>
          <w:rFonts w:ascii="Arabic Typesetting" w:hAnsi="Arabic Typesetting" w:cs="Arabic Typesetting"/>
          <w:sz w:val="32"/>
          <w:szCs w:val="32"/>
          <w:lang w:val="en-US"/>
        </w:rPr>
        <w:t>1998</w:t>
      </w:r>
      <w:r w:rsidRPr="00546C56">
        <w:rPr>
          <w:rFonts w:ascii="Arabic Typesetting" w:hAnsi="Arabic Typesetting" w:cs="Arabic Typesetting"/>
          <w:sz w:val="32"/>
          <w:szCs w:val="32"/>
          <w:rtl/>
          <w:lang w:val="en-US"/>
        </w:rPr>
        <w:t>-</w:t>
      </w:r>
      <w:r w:rsidRPr="00546C56">
        <w:rPr>
          <w:rFonts w:ascii="Arabic Typesetting" w:hAnsi="Arabic Typesetting" w:cs="Arabic Typesetting"/>
          <w:sz w:val="32"/>
          <w:szCs w:val="32"/>
          <w:lang w:val="en-US"/>
        </w:rPr>
        <w:t>1994</w:t>
      </w:r>
      <w:r w:rsidRPr="00546C56">
        <w:rPr>
          <w:rFonts w:ascii="Arabic Typesetting" w:hAnsi="Arabic Typesetting" w:cs="Arabic Typesetting"/>
          <w:sz w:val="32"/>
          <w:szCs w:val="32"/>
          <w:rtl/>
          <w:lang w:val="en-US"/>
        </w:rPr>
        <w:t xml:space="preserve"> كان في زيادة مستويات الرصاص بالدم لدى البالغين بحوالي </w:t>
      </w:r>
      <w:r w:rsidRPr="00546C56">
        <w:rPr>
          <w:rFonts w:ascii="Arabic Typesetting" w:hAnsi="Arabic Typesetting" w:cs="Arabic Typesetting"/>
          <w:sz w:val="32"/>
          <w:szCs w:val="32"/>
          <w:lang w:val="en-US"/>
        </w:rPr>
        <w:t>30%</w:t>
      </w:r>
      <w:r w:rsidRPr="00546C56">
        <w:rPr>
          <w:rFonts w:ascii="Arabic Typesetting" w:hAnsi="Arabic Typesetting" w:cs="Arabic Typesetting"/>
          <w:sz w:val="32"/>
          <w:szCs w:val="32"/>
          <w:rtl/>
          <w:lang w:val="en-US"/>
        </w:rPr>
        <w:t xml:space="preserve">، وبالذات في زيادة هذا التأثير بدرجة كبيرة لدى البيض وزيادته بدرجة بسيطة لدى السود والذين من أصل أسباني. ومنذ هذا الوقت فإن محتوى السجائر من الرصاص قد قل بمقدار النصف تقريباً وتعرض غير المدخنين لدخان السجائر قد قل بنسبة </w:t>
      </w:r>
      <w:r w:rsidRPr="00546C56">
        <w:rPr>
          <w:rFonts w:ascii="Arabic Typesetting" w:hAnsi="Arabic Typesetting" w:cs="Arabic Typesetting"/>
          <w:sz w:val="32"/>
          <w:szCs w:val="32"/>
          <w:lang w:val="en-US"/>
        </w:rPr>
        <w:t>75%</w:t>
      </w:r>
      <w:r w:rsidRPr="00546C56">
        <w:rPr>
          <w:rFonts w:ascii="Arabic Typesetting" w:hAnsi="Arabic Typesetting" w:cs="Arabic Typesetting"/>
          <w:sz w:val="32"/>
          <w:szCs w:val="32"/>
          <w:rtl/>
          <w:lang w:val="en-US"/>
        </w:rPr>
        <w:t>. وقد بينت دراسة حديثة موسعة للبيانات الأمريكية من تحاليل البول (</w:t>
      </w:r>
      <w:r w:rsidRPr="00546C56">
        <w:rPr>
          <w:rFonts w:ascii="Arabic Typesetting" w:hAnsi="Arabic Typesetting" w:cs="Arabic Typesetting"/>
          <w:sz w:val="32"/>
          <w:szCs w:val="32"/>
          <w:lang w:val="en-US"/>
        </w:rPr>
        <w:t>1998</w:t>
      </w:r>
      <w:r w:rsidRPr="00546C56">
        <w:rPr>
          <w:rFonts w:ascii="Arabic Typesetting" w:hAnsi="Arabic Typesetting" w:cs="Arabic Typesetting"/>
          <w:sz w:val="32"/>
          <w:szCs w:val="32"/>
          <w:rtl/>
          <w:lang w:val="en-US"/>
        </w:rPr>
        <w:t>-</w:t>
      </w:r>
      <w:r w:rsidRPr="00546C56">
        <w:rPr>
          <w:rFonts w:ascii="Arabic Typesetting" w:hAnsi="Arabic Typesetting" w:cs="Arabic Typesetting"/>
          <w:sz w:val="32"/>
          <w:szCs w:val="32"/>
          <w:lang w:val="en-US"/>
        </w:rPr>
        <w:t>2002</w:t>
      </w:r>
      <w:r w:rsidRPr="00546C56">
        <w:rPr>
          <w:rFonts w:ascii="Arabic Typesetting" w:hAnsi="Arabic Typesetting" w:cs="Arabic Typesetting"/>
          <w:sz w:val="32"/>
          <w:szCs w:val="32"/>
          <w:rtl/>
          <w:lang w:val="en-US"/>
        </w:rPr>
        <w:t>) أن مستويات الرصاص لم تزد لدى الأمريكيين من أصل مكسيكي الذين تعرضوا بدرجة عالية لدخان السجائر، ولم تكن هناك خطورة للتعرض البسيط لدى النساء أو الأشخاص تحت خط الفقر وأن التعرض لدخان السجائر بدرجة كبيرة لم يحمل أخطاراً زائدة مقارنةً بالتعرض لها بدرجة صغيرة لدى البيض.</w:t>
      </w:r>
    </w:p>
    <w:p w:rsidR="00061F74" w:rsidRPr="00546C56" w:rsidRDefault="00061F74" w:rsidP="002A6AB7">
      <w:pPr>
        <w:bidi/>
        <w:spacing w:after="120" w:line="240" w:lineRule="atLeast"/>
        <w:jc w:val="both"/>
        <w:rPr>
          <w:rFonts w:ascii="Arabic Typesetting" w:hAnsi="Arabic Typesetting" w:cs="Arabic Typesetting"/>
          <w:b/>
          <w:bCs/>
          <w:sz w:val="32"/>
          <w:szCs w:val="32"/>
          <w:rtl/>
          <w:lang w:val="en-US"/>
        </w:rPr>
      </w:pPr>
      <w:r w:rsidRPr="00546C56">
        <w:rPr>
          <w:rFonts w:ascii="Arabic Typesetting" w:hAnsi="Arabic Typesetting" w:cs="Arabic Typesetting"/>
          <w:b/>
          <w:bCs/>
          <w:sz w:val="40"/>
          <w:szCs w:val="40"/>
          <w:rtl/>
          <w:lang w:val="en-US"/>
        </w:rPr>
        <w:t>الحد من التدخين في المناطق العامة: قصة نجاح</w:t>
      </w:r>
    </w:p>
    <w:p w:rsidR="00061F74" w:rsidRPr="00546C56" w:rsidRDefault="00061F74" w:rsidP="002A6AB7">
      <w:pPr>
        <w:bidi/>
        <w:spacing w:after="120" w:line="240" w:lineRule="atLeast"/>
        <w:jc w:val="both"/>
        <w:rPr>
          <w:rFonts w:ascii="Arabic Typesetting" w:hAnsi="Arabic Typesetting" w:cs="Arabic Typesetting"/>
          <w:sz w:val="32"/>
          <w:szCs w:val="32"/>
          <w:rtl/>
          <w:lang w:val="en-US"/>
        </w:rPr>
      </w:pPr>
      <w:r w:rsidRPr="00546C56">
        <w:rPr>
          <w:rFonts w:ascii="Arabic Typesetting" w:hAnsi="Arabic Typesetting" w:cs="Arabic Typesetting"/>
          <w:sz w:val="32"/>
          <w:szCs w:val="32"/>
          <w:rtl/>
          <w:lang w:val="en-US"/>
        </w:rPr>
        <w:t>إنه من غير المتوقع الآن أن يكون التعرض لدخان السجائر مصدراً للرصاص لغير المدخنين من البالغين في البلاد التي قامت بالحد من التدخين في الأماكن العامة.</w:t>
      </w:r>
    </w:p>
    <w:p w:rsidR="00061F74" w:rsidRPr="00546C56" w:rsidRDefault="00061F74" w:rsidP="002A6AB7">
      <w:pPr>
        <w:bidi/>
        <w:spacing w:after="120" w:line="240" w:lineRule="atLeast"/>
        <w:jc w:val="both"/>
        <w:rPr>
          <w:rFonts w:ascii="Arabic Typesetting" w:hAnsi="Arabic Typesetting" w:cs="Arabic Typesetting"/>
          <w:b/>
          <w:bCs/>
          <w:sz w:val="32"/>
          <w:szCs w:val="32"/>
          <w:rtl/>
          <w:lang w:val="en-US"/>
        </w:rPr>
      </w:pPr>
      <w:r w:rsidRPr="00546C56">
        <w:rPr>
          <w:rFonts w:ascii="Arabic Typesetting" w:hAnsi="Arabic Typesetting" w:cs="Arabic Typesetting"/>
          <w:b/>
          <w:bCs/>
          <w:sz w:val="40"/>
          <w:szCs w:val="40"/>
          <w:rtl/>
          <w:lang w:val="en-US"/>
        </w:rPr>
        <w:t>التدخين يسرع من إخراج الرصاص من المخزون العظمي</w:t>
      </w:r>
    </w:p>
    <w:p w:rsidR="00061F74" w:rsidRPr="00546C56" w:rsidRDefault="00061F74" w:rsidP="002A6AB7">
      <w:pPr>
        <w:bidi/>
        <w:spacing w:after="120" w:line="240" w:lineRule="atLeast"/>
        <w:jc w:val="both"/>
        <w:rPr>
          <w:rFonts w:ascii="Arabic Typesetting" w:hAnsi="Arabic Typesetting" w:cs="Arabic Typesetting"/>
          <w:sz w:val="32"/>
          <w:szCs w:val="32"/>
          <w:rtl/>
          <w:lang w:val="en-US"/>
        </w:rPr>
      </w:pPr>
      <w:r w:rsidRPr="00546C56">
        <w:rPr>
          <w:rFonts w:ascii="Arabic Typesetting" w:hAnsi="Arabic Typesetting" w:cs="Arabic Typesetting"/>
          <w:sz w:val="32"/>
          <w:szCs w:val="32"/>
          <w:rtl/>
          <w:lang w:val="en-US"/>
        </w:rPr>
        <w:t xml:space="preserve">إن </w:t>
      </w:r>
      <w:r w:rsidRPr="00546C56">
        <w:rPr>
          <w:rFonts w:ascii="Arabic Typesetting" w:hAnsi="Arabic Typesetting" w:cs="Arabic Typesetting"/>
          <w:sz w:val="32"/>
          <w:szCs w:val="32"/>
          <w:lang w:val="en-US"/>
        </w:rPr>
        <w:t>80</w:t>
      </w:r>
      <w:r w:rsidRPr="00546C56">
        <w:rPr>
          <w:rFonts w:ascii="Arabic Typesetting" w:hAnsi="Arabic Typesetting" w:cs="Arabic Typesetting"/>
          <w:sz w:val="32"/>
          <w:szCs w:val="32"/>
          <w:rtl/>
          <w:lang w:val="en-US"/>
        </w:rPr>
        <w:t>-</w:t>
      </w:r>
      <w:r w:rsidRPr="00546C56">
        <w:rPr>
          <w:rFonts w:ascii="Arabic Typesetting" w:hAnsi="Arabic Typesetting" w:cs="Arabic Typesetting"/>
          <w:sz w:val="32"/>
          <w:szCs w:val="32"/>
          <w:lang w:val="en-US"/>
        </w:rPr>
        <w:t>95%</w:t>
      </w:r>
      <w:r w:rsidRPr="00546C56">
        <w:rPr>
          <w:rFonts w:ascii="Arabic Typesetting" w:hAnsi="Arabic Typesetting" w:cs="Arabic Typesetting"/>
          <w:sz w:val="32"/>
          <w:szCs w:val="32"/>
          <w:rtl/>
          <w:lang w:val="en-US"/>
        </w:rPr>
        <w:t xml:space="preserve"> من الرصاص يتم تخزينه في العظام. ويقوم التدخين بزيادة نسبة إخراج الأملاح المعدنية، بما فيها الرصاص، من العظام، خاصةً نوع العظام التي تقوم بتخزين الرصاص لفترات طويلة. يقوم التدخين أيضا بتقليل مستويات هرمون الإستروجين مما يزيد من تأثير انقطاع الطمث عند النساء. وتأثير التدخين على العظام لم يتم فهمه بالكامل بعد.</w:t>
      </w:r>
    </w:p>
    <w:p w:rsidR="00061F74" w:rsidRPr="00546C56" w:rsidRDefault="00061F74" w:rsidP="002A6AB7">
      <w:pPr>
        <w:bidi/>
        <w:spacing w:after="120" w:line="240" w:lineRule="atLeast"/>
        <w:jc w:val="both"/>
        <w:rPr>
          <w:rFonts w:ascii="Arabic Typesetting" w:hAnsi="Arabic Typesetting" w:cs="Arabic Typesetting"/>
          <w:b/>
          <w:bCs/>
          <w:sz w:val="32"/>
          <w:szCs w:val="32"/>
          <w:rtl/>
          <w:lang w:val="en-US"/>
        </w:rPr>
      </w:pPr>
      <w:r w:rsidRPr="00546C56">
        <w:rPr>
          <w:rFonts w:ascii="Arabic Typesetting" w:hAnsi="Arabic Typesetting" w:cs="Arabic Typesetting"/>
          <w:b/>
          <w:bCs/>
          <w:sz w:val="40"/>
          <w:szCs w:val="40"/>
          <w:rtl/>
          <w:lang w:val="en-US"/>
        </w:rPr>
        <w:t>التدخين يستنفذ الفيتامينات</w:t>
      </w:r>
    </w:p>
    <w:p w:rsidR="004130C2" w:rsidRPr="00546C56" w:rsidRDefault="00061F74" w:rsidP="004130C2">
      <w:pPr>
        <w:bidi/>
        <w:spacing w:after="120" w:line="240" w:lineRule="atLeast"/>
        <w:jc w:val="both"/>
        <w:rPr>
          <w:rFonts w:ascii="Arabic Typesetting" w:hAnsi="Arabic Typesetting" w:cs="Arabic Typesetting"/>
          <w:b/>
          <w:sz w:val="32"/>
          <w:szCs w:val="32"/>
        </w:rPr>
      </w:pPr>
      <w:r w:rsidRPr="00546C56">
        <w:rPr>
          <w:rFonts w:ascii="Arabic Typesetting" w:hAnsi="Arabic Typesetting" w:cs="Arabic Typesetting"/>
          <w:sz w:val="32"/>
          <w:szCs w:val="32"/>
          <w:rtl/>
          <w:lang w:val="en-US"/>
        </w:rPr>
        <w:t xml:space="preserve"> التدخين يقوم باستنفاذ فيتامين د الذي يقلل من ترسب الرصاص في العظام، وفيتامين سي وإي الذان يقللان من الأضرار التي يحدثها الرصاص في أعضاء الجسم. وينصح المدخنون بزيادة تناولهم لفيتامين سي وكذلك فيتامين د ولكن بحرص أكثر، أما الزيادة التعويضية لفيتامين إي فتحمل مخاطر تشمل سرطان الرئة.</w:t>
      </w:r>
    </w:p>
    <w:p w:rsidR="00546C56" w:rsidRPr="00546C56" w:rsidRDefault="004130C2" w:rsidP="00546C56">
      <w:pPr>
        <w:bidi/>
        <w:spacing w:after="120" w:line="240" w:lineRule="atLeast"/>
        <w:rPr>
          <w:rFonts w:ascii="Arabic Typesetting" w:hAnsi="Arabic Typesetting" w:cs="Arabic Typesetting"/>
          <w:sz w:val="40"/>
          <w:szCs w:val="40"/>
          <w:rtl/>
        </w:rPr>
      </w:pPr>
      <w:r w:rsidRPr="00546C56">
        <w:rPr>
          <w:rFonts w:ascii="Arabic Typesetting" w:hAnsi="Arabic Typesetting" w:cs="Arabic Typesetting"/>
          <w:sz w:val="40"/>
          <w:szCs w:val="40"/>
          <w:rtl/>
        </w:rPr>
        <w:t>* شروط :</w:t>
      </w:r>
    </w:p>
    <w:p w:rsidR="002A6AB7" w:rsidRPr="00546C56" w:rsidRDefault="004130C2" w:rsidP="00546C56">
      <w:pPr>
        <w:bidi/>
        <w:spacing w:after="120" w:line="240" w:lineRule="atLeast"/>
        <w:rPr>
          <w:rFonts w:ascii="Arabic Typesetting" w:hAnsi="Arabic Typesetting" w:cs="Arabic Typesetting"/>
          <w:b/>
          <w:sz w:val="32"/>
          <w:szCs w:val="32"/>
        </w:rPr>
      </w:pPr>
      <w:r w:rsidRPr="00546C56">
        <w:rPr>
          <w:rFonts w:ascii="Arabic Typesetting" w:hAnsi="Arabic Typesetting" w:cs="Arabic Typesetting"/>
          <w:b/>
          <w:sz w:val="32"/>
          <w:szCs w:val="32"/>
          <w:shd w:val="clear" w:color="auto" w:fill="E6ECF9"/>
          <w:rtl/>
        </w:rPr>
        <w:lastRenderedPageBreak/>
        <w:t>الآراء التي أعرب عنها هنا ليست بالضرورة آراء الحكومة الأسترالية ، والحكومة الأسترالية لا تقبل المسؤولية عن أي معلومات أو المشورة الواردة في هذه الوثيقة</w:t>
      </w:r>
      <w:r w:rsidRPr="00546C56">
        <w:rPr>
          <w:rFonts w:ascii="Arabic Typesetting" w:hAnsi="Arabic Typesetting" w:cs="Arabic Typesetting"/>
          <w:b/>
          <w:sz w:val="32"/>
          <w:szCs w:val="32"/>
        </w:rPr>
        <w:t xml:space="preserve"> </w:t>
      </w:r>
    </w:p>
    <w:sectPr w:rsidR="002A6AB7" w:rsidRPr="00546C56" w:rsidSect="001C51F6">
      <w:footerReference w:type="default" r:id="rId13"/>
      <w:headerReference w:type="first" r:id="rId14"/>
      <w:footerReference w:type="first" r:id="rId15"/>
      <w:pgSz w:w="11906" w:h="16838"/>
      <w:pgMar w:top="1440" w:right="1440" w:bottom="993" w:left="1440" w:header="426" w:footer="38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E79" w:rsidRDefault="00850E79" w:rsidP="00E17543">
      <w:pPr>
        <w:spacing w:after="0" w:line="240" w:lineRule="auto"/>
      </w:pPr>
      <w:r>
        <w:separator/>
      </w:r>
    </w:p>
  </w:endnote>
  <w:endnote w:type="continuationSeparator" w:id="0">
    <w:p w:rsidR="00850E79" w:rsidRDefault="00850E79" w:rsidP="00E175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56" w:rsidRPr="001C51F6" w:rsidRDefault="00546C56" w:rsidP="001C51F6">
    <w:pPr>
      <w:bidi/>
      <w:spacing w:after="0" w:line="240" w:lineRule="atLeast"/>
      <w:jc w:val="center"/>
      <w:rPr>
        <w:rFonts w:asciiTheme="minorHAnsi" w:hAnsiTheme="minorHAnsi" w:cstheme="minorHAnsi"/>
        <w:b/>
        <w:bCs/>
        <w:sz w:val="20"/>
        <w:szCs w:val="20"/>
        <w:rtl/>
      </w:rPr>
    </w:pPr>
  </w:p>
  <w:p w:rsidR="00546C56" w:rsidRPr="00B72EC3" w:rsidRDefault="00546C56" w:rsidP="001C51F6">
    <w:pPr>
      <w:pStyle w:val="Footer"/>
      <w:pBdr>
        <w:top w:val="single" w:sz="4" w:space="1" w:color="auto"/>
      </w:pBdr>
      <w:tabs>
        <w:tab w:val="right" w:pos="9000"/>
      </w:tabs>
      <w:spacing w:after="120" w:line="240" w:lineRule="atLeast"/>
      <w:jc w:val="center"/>
      <w:rPr>
        <w:rFonts w:asciiTheme="minorHAnsi" w:hAnsiTheme="minorHAnsi" w:cstheme="minorHAnsi"/>
        <w:b/>
        <w:sz w:val="20"/>
        <w:szCs w:val="20"/>
      </w:rPr>
    </w:pPr>
    <w:r w:rsidRPr="00B72EC3">
      <w:rPr>
        <w:rFonts w:asciiTheme="minorHAnsi" w:hAnsiTheme="minorHAnsi" w:cs="Arial"/>
        <w:b/>
        <w:bCs/>
        <w:sz w:val="20"/>
        <w:szCs w:val="20"/>
        <w:rtl/>
      </w:rPr>
      <w:t>صحيفة</w:t>
    </w:r>
    <w:r w:rsidRPr="00B72EC3">
      <w:rPr>
        <w:rFonts w:asciiTheme="minorHAnsi" w:hAnsiTheme="minorHAnsi" w:cstheme="minorHAnsi"/>
        <w:b/>
        <w:bCs/>
        <w:sz w:val="20"/>
        <w:szCs w:val="20"/>
        <w:rtl/>
      </w:rPr>
      <w:t xml:space="preserve"> </w:t>
    </w:r>
    <w:r w:rsidRPr="00B72EC3">
      <w:rPr>
        <w:rFonts w:asciiTheme="minorHAnsi" w:hAnsiTheme="minorHAnsi" w:cs="Arial"/>
        <w:b/>
        <w:bCs/>
        <w:sz w:val="20"/>
        <w:szCs w:val="20"/>
        <w:rtl/>
      </w:rPr>
      <w:t>معلومات</w:t>
    </w:r>
    <w:r w:rsidRPr="00B72EC3">
      <w:rPr>
        <w:rFonts w:asciiTheme="minorHAnsi" w:hAnsiTheme="minorHAnsi" w:cstheme="minorHAnsi"/>
        <w:b/>
        <w:bCs/>
        <w:sz w:val="20"/>
        <w:szCs w:val="20"/>
        <w:rtl/>
      </w:rPr>
      <w:t xml:space="preserve">: </w:t>
    </w:r>
    <w:r w:rsidRPr="00B72EC3">
      <w:rPr>
        <w:rFonts w:asciiTheme="minorHAnsi" w:hAnsiTheme="minorHAnsi" w:cs="Arial"/>
        <w:b/>
        <w:bCs/>
        <w:sz w:val="20"/>
        <w:szCs w:val="20"/>
        <w:rtl/>
      </w:rPr>
      <w:t>التدخين</w:t>
    </w:r>
    <w:r w:rsidRPr="00B72EC3">
      <w:rPr>
        <w:rFonts w:asciiTheme="minorHAnsi" w:hAnsiTheme="minorHAnsi" w:cstheme="minorHAnsi"/>
        <w:b/>
        <w:bCs/>
        <w:sz w:val="20"/>
        <w:szCs w:val="20"/>
        <w:rtl/>
      </w:rPr>
      <w:t xml:space="preserve"> </w:t>
    </w:r>
    <w:r w:rsidRPr="00B72EC3">
      <w:rPr>
        <w:rFonts w:asciiTheme="minorHAnsi" w:hAnsiTheme="minorHAnsi" w:cs="Arial"/>
        <w:b/>
        <w:bCs/>
        <w:sz w:val="20"/>
        <w:szCs w:val="20"/>
        <w:rtl/>
      </w:rPr>
      <w:t>والتسمم</w:t>
    </w:r>
    <w:r w:rsidRPr="00B72EC3">
      <w:rPr>
        <w:rFonts w:asciiTheme="minorHAnsi" w:hAnsiTheme="minorHAnsi" w:cstheme="minorHAnsi"/>
        <w:b/>
        <w:bCs/>
        <w:sz w:val="20"/>
        <w:szCs w:val="20"/>
        <w:rtl/>
      </w:rPr>
      <w:t xml:space="preserve"> </w:t>
    </w:r>
    <w:r w:rsidRPr="00B72EC3">
      <w:rPr>
        <w:rFonts w:asciiTheme="minorHAnsi" w:hAnsiTheme="minorHAnsi" w:cs="Arial"/>
        <w:b/>
        <w:bCs/>
        <w:sz w:val="20"/>
        <w:szCs w:val="20"/>
        <w:rtl/>
      </w:rPr>
      <w:t>بالرصاص</w:t>
    </w:r>
    <w:r w:rsidRPr="00B72EC3">
      <w:rPr>
        <w:rFonts w:asciiTheme="minorHAnsi" w:hAnsiTheme="minorHAnsi" w:cstheme="minorHAnsi"/>
        <w:b/>
        <w:sz w:val="20"/>
        <w:szCs w:val="20"/>
      </w:rPr>
      <w:t xml:space="preserve"> </w:t>
    </w:r>
  </w:p>
  <w:p w:rsidR="00546C56" w:rsidRPr="00B72EC3" w:rsidRDefault="00546C56" w:rsidP="001C51F6">
    <w:pPr>
      <w:pStyle w:val="Footer"/>
      <w:pBdr>
        <w:top w:val="single" w:sz="4" w:space="1" w:color="auto"/>
      </w:pBdr>
      <w:tabs>
        <w:tab w:val="right" w:pos="9000"/>
      </w:tabs>
      <w:spacing w:after="120" w:line="240" w:lineRule="atLeast"/>
      <w:jc w:val="center"/>
      <w:rPr>
        <w:rFonts w:asciiTheme="minorHAnsi" w:hAnsiTheme="minorHAnsi" w:cstheme="minorHAnsi"/>
        <w:b/>
        <w:bCs/>
        <w:sz w:val="20"/>
        <w:szCs w:val="20"/>
      </w:rPr>
    </w:pPr>
    <w:r w:rsidRPr="00B72EC3">
      <w:rPr>
        <w:rFonts w:asciiTheme="minorHAnsi" w:hAnsiTheme="minorHAnsi" w:cstheme="minorHAnsi"/>
        <w:b/>
        <w:sz w:val="20"/>
        <w:szCs w:val="20"/>
      </w:rPr>
      <w:t>5</w:t>
    </w:r>
    <w:r w:rsidRPr="00B72EC3">
      <w:rPr>
        <w:rFonts w:asciiTheme="minorHAnsi" w:hAnsiTheme="minorHAnsi" w:cstheme="minorHAnsi"/>
        <w:b/>
        <w:sz w:val="20"/>
        <w:szCs w:val="20"/>
        <w:vertAlign w:val="superscript"/>
      </w:rPr>
      <w:t>th</w:t>
    </w:r>
    <w:r w:rsidRPr="00B72EC3">
      <w:rPr>
        <w:rFonts w:asciiTheme="minorHAnsi" w:hAnsiTheme="minorHAnsi" w:cstheme="minorHAnsi"/>
        <w:b/>
        <w:sz w:val="20"/>
        <w:szCs w:val="20"/>
      </w:rPr>
      <w:t xml:space="preserve"> October 2010</w:t>
    </w:r>
    <w:r w:rsidRPr="00B72EC3">
      <w:rPr>
        <w:rFonts w:asciiTheme="minorHAnsi" w:hAnsiTheme="minorHAnsi" w:cstheme="minorHAnsi"/>
        <w:b/>
        <w:sz w:val="20"/>
        <w:szCs w:val="20"/>
      </w:rPr>
      <w:tab/>
      <w:t>The LEAD Group Inc.</w:t>
    </w:r>
    <w:r w:rsidRPr="00B72EC3">
      <w:rPr>
        <w:rFonts w:asciiTheme="minorHAnsi" w:hAnsiTheme="minorHAnsi" w:cstheme="minorHAnsi"/>
        <w:b/>
        <w:sz w:val="20"/>
        <w:szCs w:val="20"/>
      </w:rPr>
      <w:tab/>
      <w:t xml:space="preserve">Page </w:t>
    </w:r>
    <w:r w:rsidR="00253A22" w:rsidRPr="00B72EC3">
      <w:rPr>
        <w:rFonts w:asciiTheme="minorHAnsi" w:hAnsiTheme="minorHAnsi" w:cstheme="minorHAnsi"/>
        <w:b/>
        <w:sz w:val="20"/>
        <w:szCs w:val="20"/>
      </w:rPr>
      <w:fldChar w:fldCharType="begin"/>
    </w:r>
    <w:r w:rsidRPr="00B72EC3">
      <w:rPr>
        <w:rFonts w:asciiTheme="minorHAnsi" w:hAnsiTheme="minorHAnsi" w:cstheme="minorHAnsi"/>
        <w:b/>
        <w:sz w:val="20"/>
        <w:szCs w:val="20"/>
      </w:rPr>
      <w:instrText xml:space="preserve"> PAGE </w:instrText>
    </w:r>
    <w:r w:rsidR="00253A22" w:rsidRPr="00B72EC3">
      <w:rPr>
        <w:rFonts w:asciiTheme="minorHAnsi" w:hAnsiTheme="minorHAnsi" w:cstheme="minorHAnsi"/>
        <w:b/>
        <w:sz w:val="20"/>
        <w:szCs w:val="20"/>
      </w:rPr>
      <w:fldChar w:fldCharType="separate"/>
    </w:r>
    <w:r w:rsidR="00B72EC3">
      <w:rPr>
        <w:rFonts w:asciiTheme="minorHAnsi" w:hAnsiTheme="minorHAnsi" w:cstheme="minorHAnsi"/>
        <w:b/>
        <w:noProof/>
        <w:sz w:val="20"/>
        <w:szCs w:val="20"/>
      </w:rPr>
      <w:t>4</w:t>
    </w:r>
    <w:r w:rsidR="00253A22" w:rsidRPr="00B72EC3">
      <w:rPr>
        <w:rFonts w:asciiTheme="minorHAnsi" w:hAnsiTheme="minorHAnsi" w:cstheme="minorHAnsi"/>
        <w:b/>
        <w:sz w:val="20"/>
        <w:szCs w:val="20"/>
      </w:rPr>
      <w:fldChar w:fldCharType="end"/>
    </w:r>
    <w:r w:rsidRPr="00B72EC3">
      <w:rPr>
        <w:rFonts w:asciiTheme="minorHAnsi" w:hAnsiTheme="minorHAnsi" w:cstheme="minorHAnsi"/>
        <w:b/>
        <w:sz w:val="20"/>
        <w:szCs w:val="20"/>
      </w:rPr>
      <w:t xml:space="preserve"> of </w:t>
    </w:r>
    <w:r w:rsidR="00253A22" w:rsidRPr="00B72EC3">
      <w:rPr>
        <w:rFonts w:asciiTheme="minorHAnsi" w:hAnsiTheme="minorHAnsi" w:cstheme="minorHAnsi"/>
        <w:b/>
        <w:sz w:val="20"/>
        <w:szCs w:val="20"/>
      </w:rPr>
      <w:fldChar w:fldCharType="begin"/>
    </w:r>
    <w:r w:rsidRPr="00B72EC3">
      <w:rPr>
        <w:rFonts w:asciiTheme="minorHAnsi" w:hAnsiTheme="minorHAnsi" w:cstheme="minorHAnsi"/>
        <w:b/>
        <w:sz w:val="20"/>
        <w:szCs w:val="20"/>
      </w:rPr>
      <w:instrText xml:space="preserve"> NUMPAGES  </w:instrText>
    </w:r>
    <w:r w:rsidR="00253A22" w:rsidRPr="00B72EC3">
      <w:rPr>
        <w:rFonts w:asciiTheme="minorHAnsi" w:hAnsiTheme="minorHAnsi" w:cstheme="minorHAnsi"/>
        <w:b/>
        <w:sz w:val="20"/>
        <w:szCs w:val="20"/>
      </w:rPr>
      <w:fldChar w:fldCharType="separate"/>
    </w:r>
    <w:r w:rsidR="00B72EC3">
      <w:rPr>
        <w:rFonts w:asciiTheme="minorHAnsi" w:hAnsiTheme="minorHAnsi" w:cstheme="minorHAnsi"/>
        <w:b/>
        <w:noProof/>
        <w:sz w:val="20"/>
        <w:szCs w:val="20"/>
      </w:rPr>
      <w:t>4</w:t>
    </w:r>
    <w:r w:rsidR="00253A22" w:rsidRPr="00B72EC3">
      <w:rPr>
        <w:rFonts w:asciiTheme="minorHAnsi" w:hAnsiTheme="minorHAnsi" w:cstheme="minorHAnsi"/>
        <w:b/>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56" w:rsidRPr="00B72EC3" w:rsidRDefault="00546C56" w:rsidP="00E17543">
    <w:pPr>
      <w:pStyle w:val="Footer"/>
      <w:pBdr>
        <w:top w:val="single" w:sz="4" w:space="1" w:color="auto"/>
      </w:pBdr>
      <w:tabs>
        <w:tab w:val="clear" w:pos="4513"/>
        <w:tab w:val="center" w:pos="4500"/>
        <w:tab w:val="right" w:pos="9000"/>
      </w:tabs>
      <w:spacing w:after="120" w:line="240" w:lineRule="atLeast"/>
      <w:jc w:val="center"/>
      <w:rPr>
        <w:rFonts w:asciiTheme="minorHAnsi" w:hAnsiTheme="minorHAnsi" w:cstheme="minorHAnsi"/>
        <w:b/>
        <w:sz w:val="20"/>
        <w:szCs w:val="20"/>
      </w:rPr>
    </w:pPr>
    <w:r w:rsidRPr="00B72EC3">
      <w:rPr>
        <w:rFonts w:asciiTheme="minorHAnsi" w:hAnsiTheme="minorHAnsi" w:cstheme="minorHAnsi"/>
        <w:b/>
        <w:sz w:val="20"/>
        <w:szCs w:val="20"/>
      </w:rPr>
      <w:t>5</w:t>
    </w:r>
    <w:r w:rsidRPr="00B72EC3">
      <w:rPr>
        <w:rFonts w:asciiTheme="minorHAnsi" w:hAnsiTheme="minorHAnsi" w:cstheme="minorHAnsi"/>
        <w:b/>
        <w:sz w:val="20"/>
        <w:szCs w:val="20"/>
        <w:vertAlign w:val="superscript"/>
      </w:rPr>
      <w:t>th</w:t>
    </w:r>
    <w:r w:rsidRPr="00B72EC3">
      <w:rPr>
        <w:rFonts w:asciiTheme="minorHAnsi" w:hAnsiTheme="minorHAnsi" w:cstheme="minorHAnsi"/>
        <w:b/>
        <w:sz w:val="20"/>
        <w:szCs w:val="20"/>
      </w:rPr>
      <w:t xml:space="preserve"> October 2010</w:t>
    </w:r>
    <w:r w:rsidRPr="00B72EC3">
      <w:rPr>
        <w:rFonts w:asciiTheme="minorHAnsi" w:hAnsiTheme="minorHAnsi" w:cstheme="minorHAnsi"/>
        <w:b/>
        <w:sz w:val="20"/>
        <w:szCs w:val="20"/>
      </w:rPr>
      <w:tab/>
      <w:t>The LEAD Group Inc.</w:t>
    </w:r>
    <w:r w:rsidRPr="00B72EC3">
      <w:rPr>
        <w:rFonts w:asciiTheme="minorHAnsi" w:hAnsiTheme="minorHAnsi" w:cstheme="minorHAnsi"/>
        <w:b/>
        <w:sz w:val="20"/>
        <w:szCs w:val="20"/>
      </w:rPr>
      <w:tab/>
      <w:t xml:space="preserve">Page </w:t>
    </w:r>
    <w:r w:rsidR="00253A22" w:rsidRPr="00B72EC3">
      <w:rPr>
        <w:rFonts w:asciiTheme="minorHAnsi" w:hAnsiTheme="minorHAnsi" w:cstheme="minorHAnsi"/>
        <w:b/>
        <w:sz w:val="20"/>
        <w:szCs w:val="20"/>
      </w:rPr>
      <w:fldChar w:fldCharType="begin"/>
    </w:r>
    <w:r w:rsidRPr="00B72EC3">
      <w:rPr>
        <w:rFonts w:asciiTheme="minorHAnsi" w:hAnsiTheme="minorHAnsi" w:cstheme="minorHAnsi"/>
        <w:b/>
        <w:sz w:val="20"/>
        <w:szCs w:val="20"/>
      </w:rPr>
      <w:instrText xml:space="preserve"> PAGE </w:instrText>
    </w:r>
    <w:r w:rsidR="00253A22" w:rsidRPr="00B72EC3">
      <w:rPr>
        <w:rFonts w:asciiTheme="minorHAnsi" w:hAnsiTheme="minorHAnsi" w:cstheme="minorHAnsi"/>
        <w:b/>
        <w:sz w:val="20"/>
        <w:szCs w:val="20"/>
      </w:rPr>
      <w:fldChar w:fldCharType="separate"/>
    </w:r>
    <w:r w:rsidR="00B72EC3">
      <w:rPr>
        <w:rFonts w:asciiTheme="minorHAnsi" w:hAnsiTheme="minorHAnsi" w:cstheme="minorHAnsi"/>
        <w:b/>
        <w:noProof/>
        <w:sz w:val="20"/>
        <w:szCs w:val="20"/>
      </w:rPr>
      <w:t>1</w:t>
    </w:r>
    <w:r w:rsidR="00253A22" w:rsidRPr="00B72EC3">
      <w:rPr>
        <w:rFonts w:asciiTheme="minorHAnsi" w:hAnsiTheme="minorHAnsi" w:cstheme="minorHAnsi"/>
        <w:b/>
        <w:sz w:val="20"/>
        <w:szCs w:val="20"/>
      </w:rPr>
      <w:fldChar w:fldCharType="end"/>
    </w:r>
    <w:r w:rsidRPr="00B72EC3">
      <w:rPr>
        <w:rFonts w:asciiTheme="minorHAnsi" w:hAnsiTheme="minorHAnsi" w:cstheme="minorHAnsi"/>
        <w:b/>
        <w:sz w:val="20"/>
        <w:szCs w:val="20"/>
      </w:rPr>
      <w:t xml:space="preserve"> of </w:t>
    </w:r>
    <w:r w:rsidR="00253A22" w:rsidRPr="00B72EC3">
      <w:rPr>
        <w:rFonts w:asciiTheme="minorHAnsi" w:hAnsiTheme="minorHAnsi" w:cstheme="minorHAnsi"/>
        <w:b/>
        <w:sz w:val="20"/>
        <w:szCs w:val="20"/>
      </w:rPr>
      <w:fldChar w:fldCharType="begin"/>
    </w:r>
    <w:r w:rsidRPr="00B72EC3">
      <w:rPr>
        <w:rFonts w:asciiTheme="minorHAnsi" w:hAnsiTheme="minorHAnsi" w:cstheme="minorHAnsi"/>
        <w:b/>
        <w:sz w:val="20"/>
        <w:szCs w:val="20"/>
      </w:rPr>
      <w:instrText xml:space="preserve"> NUMPAGES  </w:instrText>
    </w:r>
    <w:r w:rsidR="00253A22" w:rsidRPr="00B72EC3">
      <w:rPr>
        <w:rFonts w:asciiTheme="minorHAnsi" w:hAnsiTheme="minorHAnsi" w:cstheme="minorHAnsi"/>
        <w:b/>
        <w:sz w:val="20"/>
        <w:szCs w:val="20"/>
      </w:rPr>
      <w:fldChar w:fldCharType="separate"/>
    </w:r>
    <w:r w:rsidR="00B72EC3">
      <w:rPr>
        <w:rFonts w:asciiTheme="minorHAnsi" w:hAnsiTheme="minorHAnsi" w:cstheme="minorHAnsi"/>
        <w:b/>
        <w:noProof/>
        <w:sz w:val="20"/>
        <w:szCs w:val="20"/>
      </w:rPr>
      <w:t>4</w:t>
    </w:r>
    <w:r w:rsidR="00253A22" w:rsidRPr="00B72EC3">
      <w:rPr>
        <w:rFonts w:asciiTheme="minorHAnsi" w:hAnsiTheme="minorHAnsi" w:cstheme="minorHAnsi"/>
        <w:b/>
        <w:sz w:val="20"/>
        <w:szCs w:val="20"/>
      </w:rPr>
      <w:fldChar w:fldCharType="end"/>
    </w:r>
  </w:p>
  <w:p w:rsidR="00546C56" w:rsidRPr="00B72EC3" w:rsidRDefault="00546C56" w:rsidP="00E17543">
    <w:pPr>
      <w:pStyle w:val="Footer"/>
      <w:pBdr>
        <w:top w:val="single" w:sz="4" w:space="1" w:color="auto"/>
      </w:pBdr>
      <w:tabs>
        <w:tab w:val="right" w:pos="9000"/>
      </w:tabs>
      <w:jc w:val="center"/>
      <w:rPr>
        <w:rFonts w:asciiTheme="minorHAnsi" w:hAnsiTheme="minorHAnsi"/>
      </w:rPr>
    </w:pPr>
    <w:r w:rsidRPr="00B72EC3">
      <w:rPr>
        <w:rFonts w:asciiTheme="minorHAnsi" w:hAnsiTheme="minorHAnsi" w:cstheme="minorHAnsi"/>
        <w:b/>
        <w:bCs/>
        <w:sz w:val="20"/>
        <w:szCs w:val="20"/>
      </w:rPr>
      <w:t xml:space="preserve">PO Box 161 Summer Hill NSW 2130 Australia </w:t>
    </w:r>
    <w:r w:rsidRPr="00B72EC3">
      <w:rPr>
        <w:rFonts w:asciiTheme="minorHAnsi" w:hAnsiTheme="minorHAnsi" w:cstheme="minorHAnsi"/>
        <w:b/>
        <w:spacing w:val="-3"/>
        <w:kern w:val="20"/>
        <w:sz w:val="20"/>
        <w:szCs w:val="20"/>
      </w:rPr>
      <w:t>Ph: (02) 9716 0014, Fax</w:t>
    </w:r>
    <w:r w:rsidRPr="00B72EC3">
      <w:rPr>
        <w:rFonts w:asciiTheme="minorHAnsi" w:hAnsiTheme="minorHAnsi" w:cstheme="minorHAnsi"/>
        <w:b/>
        <w:kern w:val="20"/>
        <w:sz w:val="20"/>
        <w:szCs w:val="20"/>
      </w:rPr>
      <w:t>: (02) 9716 9005</w:t>
    </w:r>
    <w:proofErr w:type="gramStart"/>
    <w:r w:rsidRPr="00B72EC3">
      <w:rPr>
        <w:rFonts w:asciiTheme="minorHAnsi" w:hAnsiTheme="minorHAnsi" w:cstheme="minorHAnsi"/>
        <w:b/>
        <w:kern w:val="20"/>
        <w:sz w:val="20"/>
        <w:szCs w:val="20"/>
      </w:rPr>
      <w:t>,</w:t>
    </w:r>
    <w:proofErr w:type="gramEnd"/>
    <w:r w:rsidRPr="00B72EC3">
      <w:rPr>
        <w:rFonts w:asciiTheme="minorHAnsi" w:hAnsiTheme="minorHAnsi" w:cstheme="minorHAnsi"/>
        <w:b/>
        <w:kern w:val="20"/>
        <w:sz w:val="20"/>
        <w:szCs w:val="20"/>
      </w:rPr>
      <w:br/>
      <w:t xml:space="preserve">Email </w:t>
    </w:r>
    <w:hyperlink r:id="rId1" w:history="1">
      <w:r w:rsidRPr="00B72EC3">
        <w:rPr>
          <w:rStyle w:val="Hyperlink"/>
          <w:rFonts w:asciiTheme="minorHAnsi" w:eastAsia="Cambria" w:hAnsiTheme="minorHAnsi" w:cstheme="minorHAnsi"/>
          <w:b/>
          <w:kern w:val="20"/>
          <w:sz w:val="20"/>
          <w:szCs w:val="20"/>
        </w:rPr>
        <w:t>www.lead.org.au/cu.html</w:t>
      </w:r>
    </w:hyperlink>
    <w:r w:rsidRPr="00B72EC3">
      <w:rPr>
        <w:rFonts w:asciiTheme="minorHAnsi" w:hAnsiTheme="minorHAnsi" w:cstheme="minorHAnsi"/>
        <w:b/>
        <w:kern w:val="20"/>
        <w:sz w:val="20"/>
        <w:szCs w:val="20"/>
      </w:rPr>
      <w:t xml:space="preserve"> </w:t>
    </w:r>
    <w:proofErr w:type="spellStart"/>
    <w:r w:rsidRPr="00B72EC3">
      <w:rPr>
        <w:rFonts w:asciiTheme="minorHAnsi" w:hAnsiTheme="minorHAnsi" w:cstheme="minorHAnsi"/>
        <w:b/>
        <w:kern w:val="20"/>
        <w:sz w:val="20"/>
        <w:szCs w:val="20"/>
      </w:rPr>
      <w:t>Web:</w:t>
    </w:r>
    <w:hyperlink r:id="rId2" w:history="1">
      <w:r w:rsidRPr="00B72EC3">
        <w:rPr>
          <w:rStyle w:val="Hyperlink"/>
          <w:rFonts w:asciiTheme="minorHAnsi" w:eastAsia="Cambria" w:hAnsiTheme="minorHAnsi" w:cstheme="minorHAnsi"/>
          <w:b/>
          <w:bCs/>
          <w:sz w:val="20"/>
          <w:szCs w:val="20"/>
        </w:rPr>
        <w:t>www.lead.org.au</w:t>
      </w:r>
      <w:proofErr w:type="spellEnd"/>
      <w:r w:rsidRPr="00B72EC3">
        <w:rPr>
          <w:rStyle w:val="Hyperlink"/>
          <w:rFonts w:asciiTheme="minorHAnsi" w:eastAsia="Cambria" w:hAnsiTheme="minorHAnsi" w:cstheme="minorHAnsi"/>
          <w:b/>
          <w:bCs/>
          <w:sz w:val="20"/>
          <w:szCs w:val="20"/>
        </w:rPr>
        <w: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E79" w:rsidRDefault="00850E79" w:rsidP="00E17543">
      <w:pPr>
        <w:spacing w:after="0" w:line="240" w:lineRule="auto"/>
      </w:pPr>
      <w:r>
        <w:separator/>
      </w:r>
    </w:p>
  </w:footnote>
  <w:footnote w:type="continuationSeparator" w:id="0">
    <w:p w:rsidR="00850E79" w:rsidRDefault="00850E79" w:rsidP="00E175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EC3" w:rsidRPr="00B72EC3" w:rsidRDefault="00253A22" w:rsidP="00B72EC3">
    <w:pPr>
      <w:pStyle w:val="Header"/>
      <w:jc w:val="center"/>
      <w:rPr>
        <w:rFonts w:asciiTheme="minorHAnsi" w:hAnsiTheme="minorHAnsi"/>
        <w:sz w:val="20"/>
        <w:szCs w:val="20"/>
      </w:rPr>
    </w:pPr>
    <w:r w:rsidRPr="00253A22">
      <w:rPr>
        <w:rFonts w:ascii="Arial" w:hAnsi="Arial" w:cs="Arial"/>
        <w:noProof/>
        <w:color w:val="000000"/>
        <w:sz w:val="20"/>
        <w:lang w:eastAsia="en-AU"/>
      </w:rPr>
      <w:pict>
        <v:shapetype id="_x0000_t32" coordsize="21600,21600" o:spt="32" o:oned="t" path="m,l21600,21600e" filled="f">
          <v:path arrowok="t" fillok="f" o:connecttype="none"/>
          <o:lock v:ext="edit" shapetype="t"/>
        </v:shapetype>
        <v:shape id="_x0000_s1025" type="#_x0000_t32" style="position:absolute;left:0;text-align:left;margin-left:98.6pt;margin-top:129.9pt;width:292.2pt;height:.6pt;z-index:1" o:connectortype="straight" strokeweight="1.5pt"/>
      </w:pict>
    </w:r>
    <w:r w:rsidRPr="00253A22">
      <w:rPr>
        <w:rFonts w:ascii="Arial" w:hAnsi="Arial" w:cs="Arial"/>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6pt;height:69.6pt">
          <v:imagedata r:id="rId1" o:title=""/>
        </v:shape>
      </w:pict>
    </w:r>
    <w:r w:rsidR="00546C56">
      <w:rPr>
        <w:rFonts w:ascii="Arial" w:hAnsi="Arial" w:cs="Arial"/>
        <w:color w:val="000000"/>
        <w:sz w:val="20"/>
      </w:rPr>
      <w:br/>
    </w:r>
    <w:r w:rsidR="00B72EC3" w:rsidRPr="00B72EC3">
      <w:rPr>
        <w:rFonts w:asciiTheme="minorHAnsi" w:hAnsiTheme="minorHAnsi" w:cs="Arial"/>
        <w:b/>
        <w:bCs/>
        <w:color w:val="000000"/>
        <w:sz w:val="20"/>
        <w:szCs w:val="20"/>
      </w:rPr>
      <w:t>The Lead Education and Abatement Design Group</w:t>
    </w:r>
    <w:r w:rsidR="00B72EC3" w:rsidRPr="00B72EC3">
      <w:rPr>
        <w:rFonts w:asciiTheme="minorHAnsi" w:hAnsiTheme="minorHAnsi" w:cs="Arial"/>
        <w:b/>
        <w:bCs/>
        <w:color w:val="000000"/>
        <w:sz w:val="20"/>
        <w:szCs w:val="20"/>
      </w:rPr>
      <w:br/>
      <w:t>Working to eliminate lead poisoning globally and to protect the</w:t>
    </w:r>
    <w:r w:rsidR="00B72EC3" w:rsidRPr="00B72EC3">
      <w:rPr>
        <w:rFonts w:asciiTheme="minorHAnsi" w:hAnsiTheme="minorHAnsi" w:cs="Arial"/>
        <w:b/>
        <w:bCs/>
        <w:color w:val="000000"/>
        <w:sz w:val="20"/>
        <w:szCs w:val="20"/>
      </w:rPr>
      <w:br/>
      <w:t>environment from lead in all its uses: past, current and new uses</w:t>
    </w:r>
    <w:r w:rsidR="00B72EC3" w:rsidRPr="00B72EC3">
      <w:rPr>
        <w:rFonts w:asciiTheme="minorHAnsi" w:hAnsiTheme="minorHAnsi" w:cs="Arial"/>
        <w:b/>
        <w:bCs/>
        <w:color w:val="000000"/>
        <w:sz w:val="20"/>
        <w:szCs w:val="20"/>
      </w:rPr>
      <w:br/>
      <w:t>ABN 25 819 463 114</w:t>
    </w:r>
  </w:p>
  <w:p w:rsidR="00546C56" w:rsidRDefault="00546C56" w:rsidP="00B72EC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00B5D"/>
    <w:multiLevelType w:val="multilevel"/>
    <w:tmpl w:val="BFFC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8B2471"/>
    <w:multiLevelType w:val="multilevel"/>
    <w:tmpl w:val="8A80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characterSpacingControl w:val="doNotCompress"/>
  <w:hdrShapeDefaults>
    <o:shapedefaults v:ext="edit" spidmax="4098"/>
    <o:shapelayout v:ext="edit">
      <o:idmap v:ext="edit" data="1"/>
      <o:rules v:ext="edit">
        <o:r id="V:Rule2" type="connector" idref="#_x0000_s102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1C3F"/>
    <w:rsid w:val="00000342"/>
    <w:rsid w:val="00005533"/>
    <w:rsid w:val="00005648"/>
    <w:rsid w:val="00006D2B"/>
    <w:rsid w:val="000104D6"/>
    <w:rsid w:val="000108BF"/>
    <w:rsid w:val="00022AEE"/>
    <w:rsid w:val="0002666A"/>
    <w:rsid w:val="00033607"/>
    <w:rsid w:val="00053A8A"/>
    <w:rsid w:val="000573F7"/>
    <w:rsid w:val="00061F74"/>
    <w:rsid w:val="00072FBA"/>
    <w:rsid w:val="00092A32"/>
    <w:rsid w:val="000974C1"/>
    <w:rsid w:val="000A1D9B"/>
    <w:rsid w:val="000A1E4A"/>
    <w:rsid w:val="000A57E5"/>
    <w:rsid w:val="000C1D16"/>
    <w:rsid w:val="000F399B"/>
    <w:rsid w:val="00101C3F"/>
    <w:rsid w:val="001026AB"/>
    <w:rsid w:val="001068C9"/>
    <w:rsid w:val="00121263"/>
    <w:rsid w:val="00147904"/>
    <w:rsid w:val="00150D86"/>
    <w:rsid w:val="00154B10"/>
    <w:rsid w:val="001707C1"/>
    <w:rsid w:val="00172EB6"/>
    <w:rsid w:val="001861E6"/>
    <w:rsid w:val="001903A7"/>
    <w:rsid w:val="001A2FEA"/>
    <w:rsid w:val="001B655A"/>
    <w:rsid w:val="001C51F6"/>
    <w:rsid w:val="001E12B0"/>
    <w:rsid w:val="00200242"/>
    <w:rsid w:val="0025102E"/>
    <w:rsid w:val="00253A22"/>
    <w:rsid w:val="00273E6D"/>
    <w:rsid w:val="00275C97"/>
    <w:rsid w:val="00296E0C"/>
    <w:rsid w:val="002A6AB7"/>
    <w:rsid w:val="002B4286"/>
    <w:rsid w:val="002B5DFD"/>
    <w:rsid w:val="002B779F"/>
    <w:rsid w:val="002D587A"/>
    <w:rsid w:val="002E0753"/>
    <w:rsid w:val="002F4099"/>
    <w:rsid w:val="0030695A"/>
    <w:rsid w:val="00326296"/>
    <w:rsid w:val="003614AD"/>
    <w:rsid w:val="00365025"/>
    <w:rsid w:val="003708F4"/>
    <w:rsid w:val="00382594"/>
    <w:rsid w:val="003C2155"/>
    <w:rsid w:val="003E2501"/>
    <w:rsid w:val="00401615"/>
    <w:rsid w:val="00404930"/>
    <w:rsid w:val="004130C2"/>
    <w:rsid w:val="00413F93"/>
    <w:rsid w:val="00426955"/>
    <w:rsid w:val="00464027"/>
    <w:rsid w:val="004641F4"/>
    <w:rsid w:val="004A1C7F"/>
    <w:rsid w:val="004B18E1"/>
    <w:rsid w:val="004D1AB7"/>
    <w:rsid w:val="004D53D5"/>
    <w:rsid w:val="00506DF6"/>
    <w:rsid w:val="00523FA1"/>
    <w:rsid w:val="00526E37"/>
    <w:rsid w:val="00546C56"/>
    <w:rsid w:val="005501DA"/>
    <w:rsid w:val="00553121"/>
    <w:rsid w:val="0055536F"/>
    <w:rsid w:val="00556350"/>
    <w:rsid w:val="005637AA"/>
    <w:rsid w:val="005740BD"/>
    <w:rsid w:val="00584A3B"/>
    <w:rsid w:val="00592E41"/>
    <w:rsid w:val="005A3902"/>
    <w:rsid w:val="005C5C4A"/>
    <w:rsid w:val="005E250A"/>
    <w:rsid w:val="005F23A5"/>
    <w:rsid w:val="00602CE4"/>
    <w:rsid w:val="00604FC4"/>
    <w:rsid w:val="00613256"/>
    <w:rsid w:val="006416FD"/>
    <w:rsid w:val="00641A8E"/>
    <w:rsid w:val="006443A7"/>
    <w:rsid w:val="00666B4D"/>
    <w:rsid w:val="00667CB5"/>
    <w:rsid w:val="0067531D"/>
    <w:rsid w:val="0069288D"/>
    <w:rsid w:val="00694EC7"/>
    <w:rsid w:val="0069601B"/>
    <w:rsid w:val="006A77C4"/>
    <w:rsid w:val="006E16F6"/>
    <w:rsid w:val="006F287F"/>
    <w:rsid w:val="00710130"/>
    <w:rsid w:val="00715151"/>
    <w:rsid w:val="00720850"/>
    <w:rsid w:val="00737500"/>
    <w:rsid w:val="00740CF3"/>
    <w:rsid w:val="00743C75"/>
    <w:rsid w:val="00756744"/>
    <w:rsid w:val="00757C0D"/>
    <w:rsid w:val="007656BE"/>
    <w:rsid w:val="00786BCB"/>
    <w:rsid w:val="007A2DED"/>
    <w:rsid w:val="007A425C"/>
    <w:rsid w:val="007C5673"/>
    <w:rsid w:val="007F5455"/>
    <w:rsid w:val="007F7471"/>
    <w:rsid w:val="0080664C"/>
    <w:rsid w:val="0081111E"/>
    <w:rsid w:val="00813407"/>
    <w:rsid w:val="00843D91"/>
    <w:rsid w:val="00850E79"/>
    <w:rsid w:val="0085457B"/>
    <w:rsid w:val="0086079F"/>
    <w:rsid w:val="008609DF"/>
    <w:rsid w:val="0089474D"/>
    <w:rsid w:val="0089755F"/>
    <w:rsid w:val="008A0DBC"/>
    <w:rsid w:val="008A73B0"/>
    <w:rsid w:val="008B3B25"/>
    <w:rsid w:val="008B6175"/>
    <w:rsid w:val="008B6723"/>
    <w:rsid w:val="008C357C"/>
    <w:rsid w:val="008C5B8A"/>
    <w:rsid w:val="008D4721"/>
    <w:rsid w:val="008E0ECC"/>
    <w:rsid w:val="008E4D5A"/>
    <w:rsid w:val="008F315E"/>
    <w:rsid w:val="008F35EE"/>
    <w:rsid w:val="00927D0B"/>
    <w:rsid w:val="00927EA1"/>
    <w:rsid w:val="0094142D"/>
    <w:rsid w:val="00942D3C"/>
    <w:rsid w:val="00944040"/>
    <w:rsid w:val="00953DA8"/>
    <w:rsid w:val="00966067"/>
    <w:rsid w:val="0096708C"/>
    <w:rsid w:val="00971104"/>
    <w:rsid w:val="009716DB"/>
    <w:rsid w:val="00985AF1"/>
    <w:rsid w:val="00987FC5"/>
    <w:rsid w:val="0099535B"/>
    <w:rsid w:val="0099708B"/>
    <w:rsid w:val="009D6452"/>
    <w:rsid w:val="009F0CB4"/>
    <w:rsid w:val="00A0557D"/>
    <w:rsid w:val="00A216E2"/>
    <w:rsid w:val="00A4782E"/>
    <w:rsid w:val="00A70DC9"/>
    <w:rsid w:val="00A82F17"/>
    <w:rsid w:val="00A86A60"/>
    <w:rsid w:val="00A96C93"/>
    <w:rsid w:val="00AA4DDE"/>
    <w:rsid w:val="00AB1AEF"/>
    <w:rsid w:val="00AC06FB"/>
    <w:rsid w:val="00AC7184"/>
    <w:rsid w:val="00AD00D6"/>
    <w:rsid w:val="00AD387B"/>
    <w:rsid w:val="00AF48DC"/>
    <w:rsid w:val="00B02FCE"/>
    <w:rsid w:val="00B12280"/>
    <w:rsid w:val="00B14836"/>
    <w:rsid w:val="00B237AC"/>
    <w:rsid w:val="00B26658"/>
    <w:rsid w:val="00B72EC3"/>
    <w:rsid w:val="00B73314"/>
    <w:rsid w:val="00B8302C"/>
    <w:rsid w:val="00BB1A1B"/>
    <w:rsid w:val="00BC0CCF"/>
    <w:rsid w:val="00BC266D"/>
    <w:rsid w:val="00BD1E58"/>
    <w:rsid w:val="00BE2DA8"/>
    <w:rsid w:val="00BE67B1"/>
    <w:rsid w:val="00BF196C"/>
    <w:rsid w:val="00C23141"/>
    <w:rsid w:val="00C24836"/>
    <w:rsid w:val="00C30439"/>
    <w:rsid w:val="00C60F45"/>
    <w:rsid w:val="00C62C21"/>
    <w:rsid w:val="00C63D89"/>
    <w:rsid w:val="00C76F9F"/>
    <w:rsid w:val="00C87B10"/>
    <w:rsid w:val="00CB285B"/>
    <w:rsid w:val="00CC0F8F"/>
    <w:rsid w:val="00CF1339"/>
    <w:rsid w:val="00D21774"/>
    <w:rsid w:val="00D26AE6"/>
    <w:rsid w:val="00D45151"/>
    <w:rsid w:val="00D50E35"/>
    <w:rsid w:val="00DB2A35"/>
    <w:rsid w:val="00DC45F0"/>
    <w:rsid w:val="00DF028D"/>
    <w:rsid w:val="00E17543"/>
    <w:rsid w:val="00E343A6"/>
    <w:rsid w:val="00E46EE3"/>
    <w:rsid w:val="00E51AF9"/>
    <w:rsid w:val="00E60B32"/>
    <w:rsid w:val="00E8082F"/>
    <w:rsid w:val="00EA3A14"/>
    <w:rsid w:val="00ED0A4A"/>
    <w:rsid w:val="00ED44C9"/>
    <w:rsid w:val="00EE0555"/>
    <w:rsid w:val="00F10444"/>
    <w:rsid w:val="00F2412F"/>
    <w:rsid w:val="00F31B7D"/>
    <w:rsid w:val="00F448FD"/>
    <w:rsid w:val="00F56264"/>
    <w:rsid w:val="00F9358B"/>
    <w:rsid w:val="00F97748"/>
    <w:rsid w:val="00FC06CF"/>
    <w:rsid w:val="00FC0983"/>
    <w:rsid w:val="00FC2676"/>
    <w:rsid w:val="00FE729B"/>
  </w:rsids>
  <m:mathPr>
    <m:mathFont m:val="Cambria Math"/>
    <m:brkBin m:val="before"/>
    <m:brkBinSub m:val="--"/>
    <m:smallFrac m:val="off"/>
    <m:dispDef/>
    <m:lMargin m:val="0"/>
    <m:rMargin m:val="0"/>
    <m:defJc m:val="centerGroup"/>
    <m:wrapIndent m:val="1440"/>
    <m:intLim m:val="subSup"/>
    <m:naryLim m:val="undOvr"/>
  </m:mathPr>
  <w:uiCompat97To2003/>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Calibri" w:hAnsi="Trebuchet MS" w:cs="Times New Roman"/>
        <w:lang w:val="en-A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4AD"/>
    <w:pPr>
      <w:spacing w:after="200" w:line="276" w:lineRule="auto"/>
    </w:pPr>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44040"/>
    <w:rPr>
      <w:rFonts w:cs="Times New Roman"/>
      <w:color w:val="0000FF"/>
      <w:u w:val="single"/>
    </w:rPr>
  </w:style>
  <w:style w:type="character" w:styleId="Emphasis">
    <w:name w:val="Emphasis"/>
    <w:basedOn w:val="DefaultParagraphFont"/>
    <w:uiPriority w:val="99"/>
    <w:qFormat/>
    <w:locked/>
    <w:rsid w:val="00D45151"/>
    <w:rPr>
      <w:rFonts w:cs="Times New Roman"/>
      <w:i/>
      <w:iCs/>
    </w:rPr>
  </w:style>
  <w:style w:type="paragraph" w:styleId="Header">
    <w:name w:val="header"/>
    <w:basedOn w:val="Normal"/>
    <w:link w:val="HeaderChar"/>
    <w:uiPriority w:val="99"/>
    <w:semiHidden/>
    <w:unhideWhenUsed/>
    <w:rsid w:val="00E17543"/>
    <w:pPr>
      <w:tabs>
        <w:tab w:val="center" w:pos="4513"/>
        <w:tab w:val="right" w:pos="9026"/>
      </w:tabs>
    </w:pPr>
  </w:style>
  <w:style w:type="character" w:customStyle="1" w:styleId="HeaderChar">
    <w:name w:val="Header Char"/>
    <w:basedOn w:val="DefaultParagraphFont"/>
    <w:link w:val="Header"/>
    <w:uiPriority w:val="99"/>
    <w:semiHidden/>
    <w:rsid w:val="00E17543"/>
    <w:rPr>
      <w:rFonts w:eastAsia="Times New Roman"/>
      <w:sz w:val="24"/>
      <w:szCs w:val="24"/>
      <w:lang w:val="en-AU"/>
    </w:rPr>
  </w:style>
  <w:style w:type="paragraph" w:styleId="Footer">
    <w:name w:val="footer"/>
    <w:basedOn w:val="Normal"/>
    <w:link w:val="FooterChar"/>
    <w:uiPriority w:val="99"/>
    <w:unhideWhenUsed/>
    <w:rsid w:val="00E17543"/>
    <w:pPr>
      <w:tabs>
        <w:tab w:val="center" w:pos="4513"/>
        <w:tab w:val="right" w:pos="9026"/>
      </w:tabs>
    </w:pPr>
  </w:style>
  <w:style w:type="character" w:customStyle="1" w:styleId="FooterChar">
    <w:name w:val="Footer Char"/>
    <w:basedOn w:val="DefaultParagraphFont"/>
    <w:link w:val="Footer"/>
    <w:uiPriority w:val="99"/>
    <w:rsid w:val="00E17543"/>
    <w:rPr>
      <w:rFonts w:eastAsia="Times New Roman"/>
      <w:sz w:val="24"/>
      <w:szCs w:val="24"/>
      <w:lang w:val="en-AU"/>
    </w:rPr>
  </w:style>
  <w:style w:type="character" w:customStyle="1" w:styleId="shorttext">
    <w:name w:val="short_text"/>
    <w:basedOn w:val="DefaultParagraphFont"/>
    <w:rsid w:val="00006D2B"/>
  </w:style>
  <w:style w:type="character" w:customStyle="1" w:styleId="gt-icon-text1">
    <w:name w:val="gt-icon-text1"/>
    <w:basedOn w:val="DefaultParagraphFont"/>
    <w:rsid w:val="004130C2"/>
  </w:style>
  <w:style w:type="character" w:styleId="Strong">
    <w:name w:val="Strong"/>
    <w:basedOn w:val="DefaultParagraphFont"/>
    <w:uiPriority w:val="22"/>
    <w:qFormat/>
    <w:locked/>
    <w:rsid w:val="004130C2"/>
    <w:rPr>
      <w:b/>
      <w:bCs/>
    </w:rPr>
  </w:style>
  <w:style w:type="character" w:customStyle="1" w:styleId="gt-ft-text1">
    <w:name w:val="gt-ft-text1"/>
    <w:basedOn w:val="DefaultParagraphFont"/>
    <w:rsid w:val="004130C2"/>
  </w:style>
</w:styles>
</file>

<file path=word/webSettings.xml><?xml version="1.0" encoding="utf-8"?>
<w:webSettings xmlns:r="http://schemas.openxmlformats.org/officeDocument/2006/relationships" xmlns:w="http://schemas.openxmlformats.org/wordprocessingml/2006/main">
  <w:divs>
    <w:div w:id="653295459">
      <w:bodyDiv w:val="1"/>
      <w:marLeft w:val="0"/>
      <w:marRight w:val="0"/>
      <w:marTop w:val="0"/>
      <w:marBottom w:val="0"/>
      <w:divBdr>
        <w:top w:val="none" w:sz="0" w:space="0" w:color="auto"/>
        <w:left w:val="none" w:sz="0" w:space="0" w:color="auto"/>
        <w:bottom w:val="none" w:sz="0" w:space="0" w:color="auto"/>
        <w:right w:val="none" w:sz="0" w:space="0" w:color="auto"/>
      </w:divBdr>
    </w:div>
    <w:div w:id="873930188">
      <w:bodyDiv w:val="1"/>
      <w:marLeft w:val="0"/>
      <w:marRight w:val="0"/>
      <w:marTop w:val="0"/>
      <w:marBottom w:val="0"/>
      <w:divBdr>
        <w:top w:val="none" w:sz="0" w:space="0" w:color="auto"/>
        <w:left w:val="none" w:sz="0" w:space="0" w:color="auto"/>
        <w:bottom w:val="none" w:sz="0" w:space="0" w:color="auto"/>
        <w:right w:val="none" w:sz="0" w:space="0" w:color="auto"/>
      </w:divBdr>
      <w:divsChild>
        <w:div w:id="826626539">
          <w:marLeft w:val="0"/>
          <w:marRight w:val="0"/>
          <w:marTop w:val="0"/>
          <w:marBottom w:val="0"/>
          <w:divBdr>
            <w:top w:val="none" w:sz="0" w:space="0" w:color="auto"/>
            <w:left w:val="none" w:sz="0" w:space="0" w:color="auto"/>
            <w:bottom w:val="none" w:sz="0" w:space="0" w:color="auto"/>
            <w:right w:val="none" w:sz="0" w:space="0" w:color="auto"/>
          </w:divBdr>
          <w:divsChild>
            <w:div w:id="489717473">
              <w:marLeft w:val="0"/>
              <w:marRight w:val="0"/>
              <w:marTop w:val="0"/>
              <w:marBottom w:val="0"/>
              <w:divBdr>
                <w:top w:val="none" w:sz="0" w:space="0" w:color="auto"/>
                <w:left w:val="none" w:sz="0" w:space="0" w:color="auto"/>
                <w:bottom w:val="none" w:sz="0" w:space="0" w:color="auto"/>
                <w:right w:val="none" w:sz="0" w:space="0" w:color="auto"/>
              </w:divBdr>
              <w:divsChild>
                <w:div w:id="654141378">
                  <w:marLeft w:val="0"/>
                  <w:marRight w:val="0"/>
                  <w:marTop w:val="0"/>
                  <w:marBottom w:val="0"/>
                  <w:divBdr>
                    <w:top w:val="none" w:sz="0" w:space="0" w:color="auto"/>
                    <w:left w:val="none" w:sz="0" w:space="0" w:color="auto"/>
                    <w:bottom w:val="none" w:sz="0" w:space="0" w:color="auto"/>
                    <w:right w:val="none" w:sz="0" w:space="0" w:color="auto"/>
                  </w:divBdr>
                  <w:divsChild>
                    <w:div w:id="36393650">
                      <w:marLeft w:val="0"/>
                      <w:marRight w:val="0"/>
                      <w:marTop w:val="0"/>
                      <w:marBottom w:val="0"/>
                      <w:divBdr>
                        <w:top w:val="none" w:sz="0" w:space="0" w:color="auto"/>
                        <w:left w:val="none" w:sz="0" w:space="0" w:color="auto"/>
                        <w:bottom w:val="none" w:sz="0" w:space="0" w:color="auto"/>
                        <w:right w:val="none" w:sz="0" w:space="0" w:color="auto"/>
                      </w:divBdr>
                      <w:divsChild>
                        <w:div w:id="268972723">
                          <w:marLeft w:val="0"/>
                          <w:marRight w:val="0"/>
                          <w:marTop w:val="0"/>
                          <w:marBottom w:val="0"/>
                          <w:divBdr>
                            <w:top w:val="none" w:sz="0" w:space="0" w:color="auto"/>
                            <w:left w:val="none" w:sz="0" w:space="0" w:color="auto"/>
                            <w:bottom w:val="none" w:sz="0" w:space="0" w:color="auto"/>
                            <w:right w:val="none" w:sz="0" w:space="0" w:color="auto"/>
                          </w:divBdr>
                          <w:divsChild>
                            <w:div w:id="578830154">
                              <w:marLeft w:val="0"/>
                              <w:marRight w:val="0"/>
                              <w:marTop w:val="0"/>
                              <w:marBottom w:val="0"/>
                              <w:divBdr>
                                <w:top w:val="none" w:sz="0" w:space="0" w:color="auto"/>
                                <w:left w:val="none" w:sz="0" w:space="0" w:color="auto"/>
                                <w:bottom w:val="none" w:sz="0" w:space="0" w:color="auto"/>
                                <w:right w:val="none" w:sz="0" w:space="0" w:color="auto"/>
                              </w:divBdr>
                              <w:divsChild>
                                <w:div w:id="56086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533730">
      <w:bodyDiv w:val="1"/>
      <w:marLeft w:val="0"/>
      <w:marRight w:val="0"/>
      <w:marTop w:val="0"/>
      <w:marBottom w:val="0"/>
      <w:divBdr>
        <w:top w:val="none" w:sz="0" w:space="0" w:color="auto"/>
        <w:left w:val="none" w:sz="0" w:space="0" w:color="auto"/>
        <w:bottom w:val="none" w:sz="0" w:space="0" w:color="auto"/>
        <w:right w:val="none" w:sz="0" w:space="0" w:color="auto"/>
      </w:divBdr>
      <w:divsChild>
        <w:div w:id="1642880085">
          <w:marLeft w:val="0"/>
          <w:marRight w:val="0"/>
          <w:marTop w:val="0"/>
          <w:marBottom w:val="0"/>
          <w:divBdr>
            <w:top w:val="none" w:sz="0" w:space="0" w:color="auto"/>
            <w:left w:val="none" w:sz="0" w:space="0" w:color="auto"/>
            <w:bottom w:val="none" w:sz="0" w:space="0" w:color="auto"/>
            <w:right w:val="none" w:sz="0" w:space="0" w:color="auto"/>
          </w:divBdr>
          <w:divsChild>
            <w:div w:id="879974242">
              <w:marLeft w:val="0"/>
              <w:marRight w:val="0"/>
              <w:marTop w:val="0"/>
              <w:marBottom w:val="0"/>
              <w:divBdr>
                <w:top w:val="none" w:sz="0" w:space="0" w:color="auto"/>
                <w:left w:val="none" w:sz="0" w:space="0" w:color="auto"/>
                <w:bottom w:val="none" w:sz="0" w:space="0" w:color="auto"/>
                <w:right w:val="none" w:sz="0" w:space="0" w:color="auto"/>
              </w:divBdr>
              <w:divsChild>
                <w:div w:id="1330912012">
                  <w:marLeft w:val="0"/>
                  <w:marRight w:val="0"/>
                  <w:marTop w:val="0"/>
                  <w:marBottom w:val="0"/>
                  <w:divBdr>
                    <w:top w:val="none" w:sz="0" w:space="0" w:color="auto"/>
                    <w:left w:val="none" w:sz="0" w:space="0" w:color="auto"/>
                    <w:bottom w:val="none" w:sz="0" w:space="0" w:color="auto"/>
                    <w:right w:val="none" w:sz="0" w:space="0" w:color="auto"/>
                  </w:divBdr>
                  <w:divsChild>
                    <w:div w:id="958682483">
                      <w:marLeft w:val="0"/>
                      <w:marRight w:val="0"/>
                      <w:marTop w:val="0"/>
                      <w:marBottom w:val="0"/>
                      <w:divBdr>
                        <w:top w:val="none" w:sz="0" w:space="0" w:color="auto"/>
                        <w:left w:val="none" w:sz="0" w:space="0" w:color="auto"/>
                        <w:bottom w:val="none" w:sz="0" w:space="0" w:color="auto"/>
                        <w:right w:val="none" w:sz="0" w:space="0" w:color="auto"/>
                      </w:divBdr>
                      <w:divsChild>
                        <w:div w:id="694883915">
                          <w:marLeft w:val="0"/>
                          <w:marRight w:val="0"/>
                          <w:marTop w:val="0"/>
                          <w:marBottom w:val="0"/>
                          <w:divBdr>
                            <w:top w:val="none" w:sz="0" w:space="0" w:color="auto"/>
                            <w:left w:val="none" w:sz="0" w:space="0" w:color="auto"/>
                            <w:bottom w:val="none" w:sz="0" w:space="0" w:color="auto"/>
                            <w:right w:val="none" w:sz="0" w:space="0" w:color="auto"/>
                          </w:divBdr>
                          <w:divsChild>
                            <w:div w:id="860777964">
                              <w:marLeft w:val="0"/>
                              <w:marRight w:val="0"/>
                              <w:marTop w:val="0"/>
                              <w:marBottom w:val="0"/>
                              <w:divBdr>
                                <w:top w:val="none" w:sz="0" w:space="0" w:color="auto"/>
                                <w:left w:val="none" w:sz="0" w:space="0" w:color="auto"/>
                                <w:bottom w:val="none" w:sz="0" w:space="0" w:color="auto"/>
                                <w:right w:val="none" w:sz="0" w:space="0" w:color="auto"/>
                              </w:divBdr>
                              <w:divsChild>
                                <w:div w:id="1171456502">
                                  <w:marLeft w:val="0"/>
                                  <w:marRight w:val="0"/>
                                  <w:marTop w:val="0"/>
                                  <w:marBottom w:val="0"/>
                                  <w:divBdr>
                                    <w:top w:val="none" w:sz="0" w:space="0" w:color="auto"/>
                                    <w:left w:val="none" w:sz="0" w:space="0" w:color="auto"/>
                                    <w:bottom w:val="none" w:sz="0" w:space="0" w:color="auto"/>
                                    <w:right w:val="none" w:sz="0" w:space="0" w:color="auto"/>
                                  </w:divBdr>
                                  <w:divsChild>
                                    <w:div w:id="3333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0826401">
      <w:bodyDiv w:val="1"/>
      <w:marLeft w:val="0"/>
      <w:marRight w:val="0"/>
      <w:marTop w:val="0"/>
      <w:marBottom w:val="0"/>
      <w:divBdr>
        <w:top w:val="none" w:sz="0" w:space="0" w:color="auto"/>
        <w:left w:val="none" w:sz="0" w:space="0" w:color="auto"/>
        <w:bottom w:val="none" w:sz="0" w:space="0" w:color="auto"/>
        <w:right w:val="none" w:sz="0" w:space="0" w:color="auto"/>
      </w:divBdr>
      <w:divsChild>
        <w:div w:id="359285311">
          <w:marLeft w:val="0"/>
          <w:marRight w:val="0"/>
          <w:marTop w:val="0"/>
          <w:marBottom w:val="0"/>
          <w:divBdr>
            <w:top w:val="none" w:sz="0" w:space="0" w:color="auto"/>
            <w:left w:val="none" w:sz="0" w:space="0" w:color="auto"/>
            <w:bottom w:val="none" w:sz="0" w:space="0" w:color="auto"/>
            <w:right w:val="none" w:sz="0" w:space="0" w:color="auto"/>
          </w:divBdr>
          <w:divsChild>
            <w:div w:id="294868926">
              <w:marLeft w:val="0"/>
              <w:marRight w:val="0"/>
              <w:marTop w:val="0"/>
              <w:marBottom w:val="0"/>
              <w:divBdr>
                <w:top w:val="none" w:sz="0" w:space="0" w:color="auto"/>
                <w:left w:val="none" w:sz="0" w:space="0" w:color="auto"/>
                <w:bottom w:val="none" w:sz="0" w:space="0" w:color="auto"/>
                <w:right w:val="none" w:sz="0" w:space="0" w:color="auto"/>
              </w:divBdr>
              <w:divsChild>
                <w:div w:id="2001806255">
                  <w:marLeft w:val="0"/>
                  <w:marRight w:val="0"/>
                  <w:marTop w:val="0"/>
                  <w:marBottom w:val="0"/>
                  <w:divBdr>
                    <w:top w:val="none" w:sz="0" w:space="0" w:color="auto"/>
                    <w:left w:val="none" w:sz="0" w:space="0" w:color="auto"/>
                    <w:bottom w:val="none" w:sz="0" w:space="0" w:color="auto"/>
                    <w:right w:val="none" w:sz="0" w:space="0" w:color="auto"/>
                  </w:divBdr>
                  <w:divsChild>
                    <w:div w:id="264534434">
                      <w:marLeft w:val="0"/>
                      <w:marRight w:val="0"/>
                      <w:marTop w:val="0"/>
                      <w:marBottom w:val="0"/>
                      <w:divBdr>
                        <w:top w:val="none" w:sz="0" w:space="0" w:color="auto"/>
                        <w:left w:val="none" w:sz="0" w:space="0" w:color="auto"/>
                        <w:bottom w:val="none" w:sz="0" w:space="0" w:color="auto"/>
                        <w:right w:val="none" w:sz="0" w:space="0" w:color="auto"/>
                      </w:divBdr>
                      <w:divsChild>
                        <w:div w:id="216935561">
                          <w:marLeft w:val="0"/>
                          <w:marRight w:val="0"/>
                          <w:marTop w:val="0"/>
                          <w:marBottom w:val="0"/>
                          <w:divBdr>
                            <w:top w:val="none" w:sz="0" w:space="0" w:color="auto"/>
                            <w:left w:val="none" w:sz="0" w:space="0" w:color="auto"/>
                            <w:bottom w:val="none" w:sz="0" w:space="0" w:color="auto"/>
                            <w:right w:val="none" w:sz="0" w:space="0" w:color="auto"/>
                          </w:divBdr>
                          <w:divsChild>
                            <w:div w:id="355346378">
                              <w:marLeft w:val="0"/>
                              <w:marRight w:val="0"/>
                              <w:marTop w:val="0"/>
                              <w:marBottom w:val="0"/>
                              <w:divBdr>
                                <w:top w:val="none" w:sz="0" w:space="0" w:color="auto"/>
                                <w:left w:val="none" w:sz="0" w:space="0" w:color="auto"/>
                                <w:bottom w:val="none" w:sz="0" w:space="0" w:color="auto"/>
                                <w:right w:val="none" w:sz="0" w:space="0" w:color="auto"/>
                              </w:divBdr>
                              <w:divsChild>
                                <w:div w:id="255528177">
                                  <w:marLeft w:val="0"/>
                                  <w:marRight w:val="0"/>
                                  <w:marTop w:val="0"/>
                                  <w:marBottom w:val="0"/>
                                  <w:divBdr>
                                    <w:top w:val="none" w:sz="0" w:space="0" w:color="auto"/>
                                    <w:left w:val="none" w:sz="0" w:space="0" w:color="auto"/>
                                    <w:bottom w:val="none" w:sz="0" w:space="0" w:color="auto"/>
                                    <w:right w:val="none" w:sz="0" w:space="0" w:color="auto"/>
                                  </w:divBdr>
                                  <w:divsChild>
                                    <w:div w:id="97957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48377">
                              <w:marLeft w:val="0"/>
                              <w:marRight w:val="0"/>
                              <w:marTop w:val="96"/>
                              <w:marBottom w:val="0"/>
                              <w:divBdr>
                                <w:top w:val="none" w:sz="0" w:space="0" w:color="auto"/>
                                <w:left w:val="none" w:sz="0" w:space="0" w:color="auto"/>
                                <w:bottom w:val="none" w:sz="0" w:space="0" w:color="auto"/>
                                <w:right w:val="none" w:sz="0" w:space="0" w:color="auto"/>
                              </w:divBdr>
                              <w:divsChild>
                                <w:div w:id="94906794">
                                  <w:marLeft w:val="0"/>
                                  <w:marRight w:val="240"/>
                                  <w:marTop w:val="0"/>
                                  <w:marBottom w:val="0"/>
                                  <w:divBdr>
                                    <w:top w:val="none" w:sz="0" w:space="0" w:color="auto"/>
                                    <w:left w:val="none" w:sz="0" w:space="0" w:color="auto"/>
                                    <w:bottom w:val="none" w:sz="0" w:space="0" w:color="auto"/>
                                    <w:right w:val="none" w:sz="0" w:space="0" w:color="auto"/>
                                  </w:divBdr>
                                </w:div>
                                <w:div w:id="1634213179">
                                  <w:marLeft w:val="0"/>
                                  <w:marRight w:val="240"/>
                                  <w:marTop w:val="0"/>
                                  <w:marBottom w:val="0"/>
                                  <w:divBdr>
                                    <w:top w:val="none" w:sz="0" w:space="0" w:color="auto"/>
                                    <w:left w:val="none" w:sz="0" w:space="0" w:color="auto"/>
                                    <w:bottom w:val="none" w:sz="0" w:space="0" w:color="auto"/>
                                    <w:right w:val="none" w:sz="0" w:space="0" w:color="auto"/>
                                  </w:divBdr>
                                </w:div>
                              </w:divsChild>
                            </w:div>
                            <w:div w:id="415326465">
                              <w:marLeft w:val="0"/>
                              <w:marRight w:val="0"/>
                              <w:marTop w:val="480"/>
                              <w:marBottom w:val="0"/>
                              <w:divBdr>
                                <w:top w:val="none" w:sz="0" w:space="0" w:color="auto"/>
                                <w:left w:val="none" w:sz="0" w:space="0" w:color="auto"/>
                                <w:bottom w:val="none" w:sz="0" w:space="0" w:color="auto"/>
                                <w:right w:val="none" w:sz="0" w:space="0" w:color="auto"/>
                              </w:divBdr>
                            </w:div>
                          </w:divsChild>
                        </w:div>
                        <w:div w:id="1996645377">
                          <w:marLeft w:val="0"/>
                          <w:marRight w:val="0"/>
                          <w:marTop w:val="0"/>
                          <w:marBottom w:val="0"/>
                          <w:divBdr>
                            <w:top w:val="none" w:sz="0" w:space="0" w:color="auto"/>
                            <w:left w:val="none" w:sz="0" w:space="0" w:color="auto"/>
                            <w:bottom w:val="none" w:sz="0" w:space="0" w:color="auto"/>
                            <w:right w:val="none" w:sz="0" w:space="0" w:color="auto"/>
                          </w:divBdr>
                          <w:divsChild>
                            <w:div w:id="145131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035932">
              <w:marLeft w:val="0"/>
              <w:marRight w:val="0"/>
              <w:marTop w:val="480"/>
              <w:marBottom w:val="0"/>
              <w:divBdr>
                <w:top w:val="none" w:sz="0" w:space="0" w:color="auto"/>
                <w:left w:val="none" w:sz="0" w:space="0" w:color="auto"/>
                <w:bottom w:val="none" w:sz="0" w:space="0" w:color="auto"/>
                <w:right w:val="none" w:sz="0" w:space="0" w:color="auto"/>
              </w:divBdr>
            </w:div>
            <w:div w:id="235209184">
              <w:marLeft w:val="0"/>
              <w:marRight w:val="0"/>
              <w:marTop w:val="1440"/>
              <w:marBottom w:val="0"/>
              <w:divBdr>
                <w:top w:val="single" w:sz="4" w:space="12" w:color="EEEEEE"/>
                <w:left w:val="none" w:sz="0" w:space="0" w:color="auto"/>
                <w:bottom w:val="none" w:sz="0" w:space="0" w:color="auto"/>
                <w:right w:val="none" w:sz="0" w:space="0" w:color="auto"/>
              </w:divBdr>
            </w:div>
            <w:div w:id="1746761020">
              <w:marLeft w:val="0"/>
              <w:marRight w:val="0"/>
              <w:marTop w:val="240"/>
              <w:marBottom w:val="480"/>
              <w:divBdr>
                <w:top w:val="none" w:sz="0" w:space="0" w:color="auto"/>
                <w:left w:val="none" w:sz="0" w:space="0" w:color="auto"/>
                <w:bottom w:val="none" w:sz="0" w:space="0" w:color="auto"/>
                <w:right w:val="none" w:sz="0" w:space="0" w:color="auto"/>
              </w:divBdr>
            </w:div>
            <w:div w:id="953099807">
              <w:marLeft w:val="0"/>
              <w:marRight w:val="0"/>
              <w:marTop w:val="480"/>
              <w:marBottom w:val="0"/>
              <w:divBdr>
                <w:top w:val="single" w:sz="4" w:space="12" w:color="EEEEEE"/>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ad.org.au/Taylor_Tobacco_&amp;_Lead_Toxicity_20101001.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ts.org/stories/2008/odds_ratios_april4_2008.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Hazard_rati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ats.org/stories/2008/odds_ratios_april4_2008.html" TargetMode="External"/><Relationship Id="rId4" Type="http://schemas.openxmlformats.org/officeDocument/2006/relationships/settings" Target="settings.xml"/><Relationship Id="rId9" Type="http://schemas.openxmlformats.org/officeDocument/2006/relationships/hyperlink" Target="http://en.wikipedia.org/wiki/Relative_ris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lead.org.au/" TargetMode="External"/><Relationship Id="rId1" Type="http://schemas.openxmlformats.org/officeDocument/2006/relationships/hyperlink" Target="http://www.lead.org.au/cu.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2F0D6-9E69-4723-AD72-563FDD3CD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صحيفة معلومات: التدخين والتسمم بالرصاص</vt:lpstr>
    </vt:vector>
  </TitlesOfParts>
  <Company/>
  <LinksUpToDate>false</LinksUpToDate>
  <CharactersWithSpaces>8879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صحيفة معلومات: التدخين والتسمم بالرصاص</dc:title>
  <dc:creator>Robert Taylor;Translated into Arabic Sami Saad;Edited by David J Ratcliffe</dc:creator>
  <cp:keywords>The LEAD Group Inc.</cp:keywords>
  <cp:lastModifiedBy>David J. Ratcliffe</cp:lastModifiedBy>
  <cp:revision>4</cp:revision>
  <cp:lastPrinted>2013-10-12T10:32:00Z</cp:lastPrinted>
  <dcterms:created xsi:type="dcterms:W3CDTF">2010-10-26T11:40:00Z</dcterms:created>
  <dcterms:modified xsi:type="dcterms:W3CDTF">2013-10-12T10:33:00Z</dcterms:modified>
</cp:coreProperties>
</file>